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heme="minorHAnsi"/>
        </w:rPr>
        <w:id w:val="-1808928241"/>
        <w:docPartObj>
          <w:docPartGallery w:val="Cover Pages"/>
          <w:docPartUnique/>
        </w:docPartObj>
      </w:sdtPr>
      <w:sdtEndPr/>
      <w:sdtContent>
        <w:p w14:paraId="5DB534C4" w14:textId="77777777" w:rsidR="00DA6D86" w:rsidRPr="00F1626B" w:rsidRDefault="00DA6D86" w:rsidP="00F1626B">
          <w:pPr>
            <w:spacing w:after="0" w:line="276" w:lineRule="auto"/>
            <w:rPr>
              <w:rFonts w:cstheme="minorHAnsi"/>
            </w:rPr>
          </w:pPr>
        </w:p>
        <w:p w14:paraId="0BB636AC" w14:textId="77777777" w:rsidR="00DA6D86" w:rsidRPr="00F1626B" w:rsidRDefault="00DA6D86" w:rsidP="00F1626B">
          <w:pPr>
            <w:spacing w:after="0" w:line="276" w:lineRule="auto"/>
            <w:rPr>
              <w:rFonts w:cstheme="minorHAnsi"/>
            </w:rPr>
          </w:pPr>
          <w:r w:rsidRPr="00F1626B">
            <w:rPr>
              <w:rFonts w:cstheme="minorHAnsi"/>
              <w:noProof/>
              <w:lang w:eastAsia="tr-TR"/>
            </w:rPr>
            <mc:AlternateContent>
              <mc:Choice Requires="wps">
                <w:drawing>
                  <wp:anchor distT="0" distB="0" distL="114300" distR="114300" simplePos="0" relativeHeight="251659264" behindDoc="0" locked="0" layoutInCell="1" allowOverlap="1" wp14:anchorId="0598E4DF" wp14:editId="5590E274">
                    <wp:simplePos x="0" y="0"/>
                    <wp:positionH relativeFrom="column">
                      <wp:posOffset>-28527</wp:posOffset>
                    </wp:positionH>
                    <wp:positionV relativeFrom="paragraph">
                      <wp:posOffset>269731</wp:posOffset>
                    </wp:positionV>
                    <wp:extent cx="6209030" cy="7850038"/>
                    <wp:effectExtent l="0" t="0" r="20320" b="17780"/>
                    <wp:wrapNone/>
                    <wp:docPr id="3" name="Yuvarlatılmış Dikdörtgen 3"/>
                    <wp:cNvGraphicFramePr/>
                    <a:graphic xmlns:a="http://schemas.openxmlformats.org/drawingml/2006/main">
                      <a:graphicData uri="http://schemas.microsoft.com/office/word/2010/wordprocessingShape">
                        <wps:wsp>
                          <wps:cNvSpPr/>
                          <wps:spPr>
                            <a:xfrm>
                              <a:off x="0" y="0"/>
                              <a:ext cx="6209030" cy="7850038"/>
                            </a:xfrm>
                            <a:prstGeom prst="roundRect">
                              <a:avLst/>
                            </a:prstGeom>
                          </wps:spPr>
                          <wps:style>
                            <a:lnRef idx="2">
                              <a:schemeClr val="accent3"/>
                            </a:lnRef>
                            <a:fillRef idx="1">
                              <a:schemeClr val="lt1"/>
                            </a:fillRef>
                            <a:effectRef idx="0">
                              <a:schemeClr val="accent3"/>
                            </a:effectRef>
                            <a:fontRef idx="minor">
                              <a:schemeClr val="dk1"/>
                            </a:fontRef>
                          </wps:style>
                          <wps:txbx>
                            <w:txbxContent>
                              <w:p w14:paraId="2764F4BA" w14:textId="726A2157" w:rsidR="00DA6D86" w:rsidRPr="00C16F76" w:rsidRDefault="00C16F76" w:rsidP="00DA6D86">
                                <w:pPr>
                                  <w:jc w:val="center"/>
                                  <w:rPr>
                                    <w:sz w:val="40"/>
                                    <w:szCs w:val="40"/>
                                  </w:rPr>
                                </w:pPr>
                                <w:r w:rsidRPr="00C16F76">
                                  <w:rPr>
                                    <w:sz w:val="40"/>
                                    <w:szCs w:val="40"/>
                                  </w:rPr>
                                  <w:t>GÜZEL SANATLAR TASARIM VE MİMARLIK FAKÜLTESİ</w:t>
                                </w:r>
                              </w:p>
                              <w:p w14:paraId="670D5850" w14:textId="77777777" w:rsidR="00DA6D86" w:rsidRDefault="00DA6D86" w:rsidP="00DA6D86">
                                <w:pPr>
                                  <w:jc w:val="center"/>
                                </w:pPr>
                              </w:p>
                              <w:p w14:paraId="0601DF9D" w14:textId="77777777" w:rsidR="00DA6D86" w:rsidRDefault="00DA6D86" w:rsidP="00DA6D86">
                                <w:pPr>
                                  <w:jc w:val="center"/>
                                  <w:rPr>
                                    <w:sz w:val="40"/>
                                    <w:szCs w:val="40"/>
                                  </w:rPr>
                                </w:pPr>
                                <w:r w:rsidRPr="0058745B">
                                  <w:rPr>
                                    <w:sz w:val="40"/>
                                    <w:szCs w:val="40"/>
                                  </w:rPr>
                                  <w:t>BİRİM İZLEME RAPORU [BİZR]</w:t>
                                </w:r>
                              </w:p>
                              <w:p w14:paraId="10EC48C1" w14:textId="77777777" w:rsidR="00DA6D86" w:rsidRDefault="00DA6D86" w:rsidP="00DA6D86">
                                <w:pPr>
                                  <w:jc w:val="center"/>
                                  <w:rPr>
                                    <w:sz w:val="40"/>
                                    <w:szCs w:val="40"/>
                                  </w:rPr>
                                </w:pPr>
                              </w:p>
                              <w:p w14:paraId="53AFC8DD" w14:textId="77777777" w:rsidR="00DA6D86" w:rsidRDefault="00DA6D86" w:rsidP="00DA6D86">
                                <w:pPr>
                                  <w:jc w:val="center"/>
                                  <w:rPr>
                                    <w:sz w:val="24"/>
                                    <w:szCs w:val="24"/>
                                  </w:rPr>
                                </w:pPr>
                                <w:r>
                                  <w:rPr>
                                    <w:sz w:val="24"/>
                                    <w:szCs w:val="24"/>
                                  </w:rPr>
                                  <w:t>İZLEME TAKIMI</w:t>
                                </w:r>
                              </w:p>
                              <w:p w14:paraId="19B99B55" w14:textId="13BEDAEE" w:rsidR="00DA6D86" w:rsidRDefault="00C16F76" w:rsidP="00DA6D86">
                                <w:pPr>
                                  <w:jc w:val="center"/>
                                  <w:rPr>
                                    <w:sz w:val="24"/>
                                    <w:szCs w:val="24"/>
                                  </w:rPr>
                                </w:pPr>
                                <w:r>
                                  <w:rPr>
                                    <w:sz w:val="24"/>
                                    <w:szCs w:val="24"/>
                                  </w:rPr>
                                  <w:t>Prof. Dr. Haluk KORKMAZYÜREK</w:t>
                                </w:r>
                                <w:r w:rsidR="00DA6D86">
                                  <w:rPr>
                                    <w:sz w:val="24"/>
                                    <w:szCs w:val="24"/>
                                  </w:rPr>
                                  <w:t xml:space="preserve"> (Takım Başkanı)</w:t>
                                </w:r>
                              </w:p>
                              <w:p w14:paraId="0088C594" w14:textId="75ECE859" w:rsidR="00DA6D86" w:rsidRDefault="00C16F76" w:rsidP="00DA6D86">
                                <w:pPr>
                                  <w:jc w:val="center"/>
                                  <w:rPr>
                                    <w:sz w:val="24"/>
                                    <w:szCs w:val="24"/>
                                  </w:rPr>
                                </w:pPr>
                                <w:r>
                                  <w:rPr>
                                    <w:sz w:val="24"/>
                                    <w:szCs w:val="24"/>
                                  </w:rPr>
                                  <w:t xml:space="preserve">Dr. </w:t>
                                </w:r>
                                <w:proofErr w:type="spellStart"/>
                                <w:r>
                                  <w:rPr>
                                    <w:sz w:val="24"/>
                                    <w:szCs w:val="24"/>
                                  </w:rPr>
                                  <w:t>Öğr</w:t>
                                </w:r>
                                <w:proofErr w:type="spellEnd"/>
                                <w:r>
                                  <w:rPr>
                                    <w:sz w:val="24"/>
                                    <w:szCs w:val="24"/>
                                  </w:rPr>
                                  <w:t>. Üyesi Gökçe MANAVGAT</w:t>
                                </w:r>
                                <w:r w:rsidR="00DA6D86">
                                  <w:rPr>
                                    <w:sz w:val="24"/>
                                    <w:szCs w:val="24"/>
                                  </w:rPr>
                                  <w:t xml:space="preserve"> </w:t>
                                </w:r>
                                <w:r>
                                  <w:rPr>
                                    <w:sz w:val="24"/>
                                    <w:szCs w:val="24"/>
                                  </w:rPr>
                                  <w:t>(</w:t>
                                </w:r>
                                <w:r w:rsidR="007439F3">
                                  <w:rPr>
                                    <w:sz w:val="24"/>
                                    <w:szCs w:val="24"/>
                                  </w:rPr>
                                  <w:t>KGS</w:t>
                                </w:r>
                                <w:r>
                                  <w:rPr>
                                    <w:sz w:val="24"/>
                                    <w:szCs w:val="24"/>
                                  </w:rPr>
                                  <w:t>)</w:t>
                                </w:r>
                              </w:p>
                              <w:p w14:paraId="17DBAF8D" w14:textId="2613B85B" w:rsidR="00C16F76" w:rsidRDefault="00C16F76" w:rsidP="00DA6D86">
                                <w:pPr>
                                  <w:jc w:val="center"/>
                                  <w:rPr>
                                    <w:sz w:val="24"/>
                                    <w:szCs w:val="24"/>
                                  </w:rPr>
                                </w:pPr>
                                <w:r>
                                  <w:rPr>
                                    <w:sz w:val="24"/>
                                    <w:szCs w:val="24"/>
                                  </w:rPr>
                                  <w:t>Arş. Gör. Dr. Özgür Uğur ARIKAN (Akademik Değerlendirici)</w:t>
                                </w:r>
                              </w:p>
                              <w:p w14:paraId="5D943B32" w14:textId="4E493410" w:rsidR="00C16F76" w:rsidRDefault="002916FB" w:rsidP="00DA6D86">
                                <w:pPr>
                                  <w:jc w:val="center"/>
                                  <w:rPr>
                                    <w:sz w:val="24"/>
                                    <w:szCs w:val="24"/>
                                  </w:rPr>
                                </w:pPr>
                                <w:proofErr w:type="spellStart"/>
                                <w:r>
                                  <w:rPr>
                                    <w:sz w:val="24"/>
                                    <w:szCs w:val="24"/>
                                  </w:rPr>
                                  <w:t>Öğr</w:t>
                                </w:r>
                                <w:proofErr w:type="spellEnd"/>
                                <w:r>
                                  <w:rPr>
                                    <w:sz w:val="24"/>
                                    <w:szCs w:val="24"/>
                                  </w:rPr>
                                  <w:t>. Gör. Akın ABA (Akademik Değerlendirici)</w:t>
                                </w:r>
                              </w:p>
                              <w:p w14:paraId="695F1E41" w14:textId="5C874B7E" w:rsidR="002916FB" w:rsidRDefault="002916FB" w:rsidP="00DA6D86">
                                <w:pPr>
                                  <w:jc w:val="center"/>
                                  <w:rPr>
                                    <w:sz w:val="24"/>
                                    <w:szCs w:val="24"/>
                                  </w:rPr>
                                </w:pPr>
                                <w:r>
                                  <w:rPr>
                                    <w:sz w:val="24"/>
                                    <w:szCs w:val="24"/>
                                  </w:rPr>
                                  <w:t>Kerim ERTURAN (İdari Değerlendirici)</w:t>
                                </w:r>
                              </w:p>
                              <w:p w14:paraId="1A106D00" w14:textId="77777777" w:rsidR="00DA6D86" w:rsidRDefault="00DA6D86" w:rsidP="00DA6D86">
                                <w:pPr>
                                  <w:jc w:val="center"/>
                                </w:pPr>
                              </w:p>
                              <w:p w14:paraId="03324F41" w14:textId="77777777" w:rsidR="00DA6D86" w:rsidRDefault="00DA6D86" w:rsidP="00DA6D86">
                                <w:pPr>
                                  <w:jc w:val="center"/>
                                </w:pPr>
                              </w:p>
                              <w:p w14:paraId="3C171CB6" w14:textId="3F4E43F1" w:rsidR="00DA6D86" w:rsidRDefault="002916FB" w:rsidP="00DA6D86">
                                <w:pPr>
                                  <w:jc w:val="center"/>
                                </w:pPr>
                                <w:r>
                                  <w:t>2</w:t>
                                </w:r>
                                <w:r w:rsidR="00BB2337">
                                  <w:t>8</w:t>
                                </w:r>
                                <w:r w:rsidR="00DA6D86">
                                  <w:t>/</w:t>
                                </w:r>
                                <w:r>
                                  <w:t>03</w:t>
                                </w:r>
                                <w:r w:rsidR="00DA6D86">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598E4DF" id="Yuvarlatılmış Dikdörtgen 3" o:spid="_x0000_s1026" style="position:absolute;margin-left:-2.25pt;margin-top:21.25pt;width:488.9pt;height:618.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" fillcolor="white [3201]" strokecolor="#37a76f [3206]" strokeweight="1pt">
                    <v:stroke joinstyle="miter"/>
                    <v:textbox>
                      <w:txbxContent>
                        <w:p w14:paraId="2764F4BA" w14:textId="726A2157" w:rsidR="00DA6D86" w:rsidRPr="00C16F76" w:rsidRDefault="00C16F76" w:rsidP="00DA6D86">
                          <w:pPr>
                            <w:jc w:val="center"/>
                            <w:rPr>
                              <w:sz w:val="40"/>
                              <w:szCs w:val="40"/>
                            </w:rPr>
                          </w:pPr>
                          <w:r w:rsidRPr="00C16F76">
                            <w:rPr>
                              <w:sz w:val="40"/>
                              <w:szCs w:val="40"/>
                            </w:rPr>
                            <w:t>GÜZEL SANATLAR TASARIM VE MİMARLIK FAKÜLTESİ</w:t>
                          </w:r>
                        </w:p>
                        <w:p w14:paraId="670D5850" w14:textId="77777777" w:rsidR="00DA6D86" w:rsidRDefault="00DA6D86" w:rsidP="00DA6D86">
                          <w:pPr>
                            <w:jc w:val="center"/>
                          </w:pPr>
                        </w:p>
                        <w:p w14:paraId="0601DF9D" w14:textId="77777777" w:rsidR="00DA6D86" w:rsidRDefault="00DA6D86" w:rsidP="00DA6D86">
                          <w:pPr>
                            <w:jc w:val="center"/>
                            <w:rPr>
                              <w:sz w:val="40"/>
                              <w:szCs w:val="40"/>
                            </w:rPr>
                          </w:pPr>
                          <w:r w:rsidRPr="0058745B">
                            <w:rPr>
                              <w:sz w:val="40"/>
                              <w:szCs w:val="40"/>
                            </w:rPr>
                            <w:t>BİRİM İZLEME RAPORU [BİZR]</w:t>
                          </w:r>
                        </w:p>
                        <w:p w14:paraId="10EC48C1" w14:textId="77777777" w:rsidR="00DA6D86" w:rsidRDefault="00DA6D86" w:rsidP="00DA6D86">
                          <w:pPr>
                            <w:jc w:val="center"/>
                            <w:rPr>
                              <w:sz w:val="40"/>
                              <w:szCs w:val="40"/>
                            </w:rPr>
                          </w:pPr>
                        </w:p>
                        <w:p w14:paraId="53AFC8DD" w14:textId="77777777" w:rsidR="00DA6D86" w:rsidRDefault="00DA6D86" w:rsidP="00DA6D86">
                          <w:pPr>
                            <w:jc w:val="center"/>
                            <w:rPr>
                              <w:sz w:val="24"/>
                              <w:szCs w:val="24"/>
                            </w:rPr>
                          </w:pPr>
                          <w:r>
                            <w:rPr>
                              <w:sz w:val="24"/>
                              <w:szCs w:val="24"/>
                            </w:rPr>
                            <w:t>İZLEME TAKIMI</w:t>
                          </w:r>
                        </w:p>
                        <w:p w14:paraId="19B99B55" w14:textId="13BEDAEE" w:rsidR="00DA6D86" w:rsidRDefault="00C16F76" w:rsidP="00DA6D86">
                          <w:pPr>
                            <w:jc w:val="center"/>
                            <w:rPr>
                              <w:sz w:val="24"/>
                              <w:szCs w:val="24"/>
                            </w:rPr>
                          </w:pPr>
                          <w:r>
                            <w:rPr>
                              <w:sz w:val="24"/>
                              <w:szCs w:val="24"/>
                            </w:rPr>
                            <w:t>Prof. Dr. Haluk KORKMAZYÜREK</w:t>
                          </w:r>
                          <w:r w:rsidR="00DA6D86">
                            <w:rPr>
                              <w:sz w:val="24"/>
                              <w:szCs w:val="24"/>
                            </w:rPr>
                            <w:t xml:space="preserve"> (Takım Başkanı)</w:t>
                          </w:r>
                        </w:p>
                        <w:p w14:paraId="0088C594" w14:textId="75ECE859" w:rsidR="00DA6D86" w:rsidRDefault="00C16F76" w:rsidP="00DA6D86">
                          <w:pPr>
                            <w:jc w:val="center"/>
                            <w:rPr>
                              <w:sz w:val="24"/>
                              <w:szCs w:val="24"/>
                            </w:rPr>
                          </w:pPr>
                          <w:r>
                            <w:rPr>
                              <w:sz w:val="24"/>
                              <w:szCs w:val="24"/>
                            </w:rPr>
                            <w:t>Dr. Öğr. Üyesi Gökçe MANAVGAT</w:t>
                          </w:r>
                          <w:r w:rsidR="00DA6D86">
                            <w:rPr>
                              <w:sz w:val="24"/>
                              <w:szCs w:val="24"/>
                            </w:rPr>
                            <w:t xml:space="preserve"> </w:t>
                          </w:r>
                          <w:r>
                            <w:rPr>
                              <w:sz w:val="24"/>
                              <w:szCs w:val="24"/>
                            </w:rPr>
                            <w:t>(</w:t>
                          </w:r>
                          <w:r w:rsidR="007439F3">
                            <w:rPr>
                              <w:sz w:val="24"/>
                              <w:szCs w:val="24"/>
                            </w:rPr>
                            <w:t>KGS</w:t>
                          </w:r>
                          <w:r>
                            <w:rPr>
                              <w:sz w:val="24"/>
                              <w:szCs w:val="24"/>
                            </w:rPr>
                            <w:t>)</w:t>
                          </w:r>
                        </w:p>
                        <w:p w14:paraId="17DBAF8D" w14:textId="2613B85B" w:rsidR="00C16F76" w:rsidRDefault="00C16F76" w:rsidP="00DA6D86">
                          <w:pPr>
                            <w:jc w:val="center"/>
                            <w:rPr>
                              <w:sz w:val="24"/>
                              <w:szCs w:val="24"/>
                            </w:rPr>
                          </w:pPr>
                          <w:r>
                            <w:rPr>
                              <w:sz w:val="24"/>
                              <w:szCs w:val="24"/>
                            </w:rPr>
                            <w:t>Arş. Gör. Dr. Özgür Uğur ARIKAN (Akademik Değerlendirici)</w:t>
                          </w:r>
                        </w:p>
                        <w:p w14:paraId="5D943B32" w14:textId="4E493410" w:rsidR="00C16F76" w:rsidRDefault="002916FB" w:rsidP="00DA6D86">
                          <w:pPr>
                            <w:jc w:val="center"/>
                            <w:rPr>
                              <w:sz w:val="24"/>
                              <w:szCs w:val="24"/>
                            </w:rPr>
                          </w:pPr>
                          <w:r>
                            <w:rPr>
                              <w:sz w:val="24"/>
                              <w:szCs w:val="24"/>
                            </w:rPr>
                            <w:t>Öğr. Gör. Akın ABA (Akademik Değerlendirici)</w:t>
                          </w:r>
                        </w:p>
                        <w:p w14:paraId="695F1E41" w14:textId="5C874B7E" w:rsidR="002916FB" w:rsidRDefault="002916FB" w:rsidP="00DA6D86">
                          <w:pPr>
                            <w:jc w:val="center"/>
                            <w:rPr>
                              <w:sz w:val="24"/>
                              <w:szCs w:val="24"/>
                            </w:rPr>
                          </w:pPr>
                          <w:r>
                            <w:rPr>
                              <w:sz w:val="24"/>
                              <w:szCs w:val="24"/>
                            </w:rPr>
                            <w:t>Kerim ERTURAN (İdari Değerlendirici)</w:t>
                          </w:r>
                        </w:p>
                        <w:p w14:paraId="1A106D00" w14:textId="77777777" w:rsidR="00DA6D86" w:rsidRDefault="00DA6D86" w:rsidP="00DA6D86">
                          <w:pPr>
                            <w:jc w:val="center"/>
                          </w:pPr>
                        </w:p>
                        <w:p w14:paraId="03324F41" w14:textId="77777777" w:rsidR="00DA6D86" w:rsidRDefault="00DA6D86" w:rsidP="00DA6D86">
                          <w:pPr>
                            <w:jc w:val="center"/>
                          </w:pPr>
                        </w:p>
                        <w:p w14:paraId="3C171CB6" w14:textId="3F4E43F1" w:rsidR="00DA6D86" w:rsidRDefault="002916FB" w:rsidP="00DA6D86">
                          <w:pPr>
                            <w:jc w:val="center"/>
                          </w:pPr>
                          <w:r>
                            <w:t>2</w:t>
                          </w:r>
                          <w:r w:rsidR="00BB2337">
                            <w:t>8</w:t>
                          </w:r>
                          <w:r w:rsidR="00DA6D86">
                            <w:t>/</w:t>
                          </w:r>
                          <w:r>
                            <w:t>03</w:t>
                          </w:r>
                          <w:r w:rsidR="00DA6D86">
                            <w:t>/2022</w:t>
                          </w:r>
                        </w:p>
                      </w:txbxContent>
                    </v:textbox>
                  </v:roundrect>
                </w:pict>
              </mc:Fallback>
            </mc:AlternateContent>
          </w:r>
        </w:p>
        <w:p w14:paraId="685C1470" w14:textId="77777777" w:rsidR="00DA6D86" w:rsidRPr="00F1626B" w:rsidRDefault="00DA6D86" w:rsidP="00F1626B">
          <w:pPr>
            <w:spacing w:after="0" w:line="276" w:lineRule="auto"/>
            <w:rPr>
              <w:rFonts w:cstheme="minorHAnsi"/>
            </w:rPr>
          </w:pPr>
        </w:p>
        <w:p w14:paraId="2F88F01E" w14:textId="77777777" w:rsidR="00DA6D86" w:rsidRPr="00F1626B" w:rsidRDefault="00DA6D86" w:rsidP="00F1626B">
          <w:pPr>
            <w:spacing w:after="0" w:line="276" w:lineRule="auto"/>
            <w:rPr>
              <w:rFonts w:cstheme="minorHAnsi"/>
            </w:rPr>
          </w:pPr>
        </w:p>
        <w:p w14:paraId="33708A2A" w14:textId="77777777" w:rsidR="00DA6D86" w:rsidRPr="00F1626B" w:rsidRDefault="00DA6D86" w:rsidP="00F1626B">
          <w:pPr>
            <w:spacing w:after="0" w:line="276" w:lineRule="auto"/>
            <w:rPr>
              <w:rFonts w:cstheme="minorHAnsi"/>
            </w:rPr>
          </w:pPr>
          <w:r w:rsidRPr="00F1626B">
            <w:rPr>
              <w:rFonts w:cstheme="minorHAnsi"/>
            </w:rPr>
            <w:br w:type="page"/>
          </w:r>
        </w:p>
        <w:p w14:paraId="33604E31" w14:textId="77777777" w:rsidR="00DA6D86" w:rsidRPr="00F1626B" w:rsidRDefault="00DA6D86" w:rsidP="00F1626B">
          <w:pPr>
            <w:spacing w:after="0" w:line="276" w:lineRule="auto"/>
            <w:rPr>
              <w:rFonts w:cstheme="minorHAnsi"/>
              <w:b/>
            </w:rPr>
          </w:pPr>
          <w:r w:rsidRPr="00F1626B">
            <w:rPr>
              <w:rFonts w:cstheme="minorHAnsi"/>
              <w:b/>
            </w:rPr>
            <w:lastRenderedPageBreak/>
            <w:t xml:space="preserve">BİRİM İZLEME RAPORUNUN İÇERİĞİ </w:t>
          </w:r>
        </w:p>
        <w:p w14:paraId="10A48326" w14:textId="77777777" w:rsidR="00DA6D86" w:rsidRPr="00F1626B" w:rsidRDefault="00DA6D86" w:rsidP="00F1626B">
          <w:pPr>
            <w:spacing w:after="0" w:line="276" w:lineRule="auto"/>
            <w:rPr>
              <w:rFonts w:cstheme="minorHAnsi"/>
              <w:b/>
            </w:rPr>
          </w:pPr>
          <w:r w:rsidRPr="00F1626B">
            <w:rPr>
              <w:rFonts w:cstheme="minorHAnsi"/>
              <w:b/>
            </w:rPr>
            <w:t>Genel Bilgiler</w:t>
          </w:r>
        </w:p>
        <w:p w14:paraId="1247F803" w14:textId="77777777" w:rsidR="00DA6D86" w:rsidRPr="00F1626B" w:rsidRDefault="00DA6D86" w:rsidP="00F1626B">
          <w:pPr>
            <w:spacing w:after="0" w:line="276" w:lineRule="auto"/>
            <w:rPr>
              <w:rFonts w:cstheme="minorHAnsi"/>
            </w:rPr>
          </w:pPr>
          <w:r w:rsidRPr="00F1626B">
            <w:rPr>
              <w:rFonts w:cstheme="minorHAnsi"/>
            </w:rPr>
            <w:t>Bu bölümde Akademik birim hakkında genel bilgilere kısaca yer verilir.</w:t>
          </w:r>
        </w:p>
      </w:sdtContent>
    </w:sdt>
    <w:p w14:paraId="6E024F32" w14:textId="77777777" w:rsidR="00DA6D86" w:rsidRPr="00F1626B" w:rsidRDefault="00DA6D86" w:rsidP="00F1626B">
      <w:pPr>
        <w:pStyle w:val="ListeParagraf"/>
        <w:numPr>
          <w:ilvl w:val="0"/>
          <w:numId w:val="1"/>
        </w:numPr>
        <w:spacing w:after="0" w:line="276" w:lineRule="auto"/>
        <w:rPr>
          <w:rFonts w:cstheme="minorHAnsi"/>
          <w:b/>
        </w:rPr>
      </w:pPr>
      <w:r w:rsidRPr="00F1626B">
        <w:rPr>
          <w:rFonts w:cstheme="minorHAnsi"/>
          <w:b/>
        </w:rPr>
        <w:t>Birim İç Değerlendir Raporu (BİDR) ve İzleme Değerlendirilmesi</w:t>
      </w:r>
    </w:p>
    <w:p w14:paraId="69A535A3" w14:textId="77777777" w:rsidR="00DA6D86" w:rsidRPr="00F1626B" w:rsidRDefault="00DA6D86" w:rsidP="00F1626B">
      <w:pPr>
        <w:pStyle w:val="ListeParagraf"/>
        <w:spacing w:after="0" w:line="276" w:lineRule="auto"/>
        <w:ind w:left="360"/>
        <w:rPr>
          <w:rFonts w:cstheme="minorHAnsi"/>
          <w:b/>
        </w:rPr>
      </w:pPr>
    </w:p>
    <w:p w14:paraId="02078D74" w14:textId="77777777" w:rsidR="00DA6D86" w:rsidRPr="00F1626B" w:rsidRDefault="00DA6D86" w:rsidP="00F1626B">
      <w:pPr>
        <w:pStyle w:val="ListeParagraf"/>
        <w:spacing w:after="0" w:line="276" w:lineRule="auto"/>
        <w:ind w:left="0"/>
        <w:jc w:val="both"/>
        <w:rPr>
          <w:rFonts w:cstheme="minorHAnsi"/>
        </w:rPr>
      </w:pPr>
      <w:r w:rsidRPr="00F1626B">
        <w:rPr>
          <w:rFonts w:cstheme="minorHAnsi"/>
        </w:rPr>
        <w:t xml:space="preserve">Bu bölümde, akademik birim tarafından hazırlanan BİDR-2021 hakkında kısa bir değerlendirme yapılır. Güçlü ve İyileştirmeye açık yanlar belirtilir. BGBR belirtilen iyileştirmeler hakkında değerlendirme yapılır. </w:t>
      </w:r>
    </w:p>
    <w:p w14:paraId="76CA4971" w14:textId="77777777" w:rsidR="00DA6D86" w:rsidRPr="00F1626B" w:rsidRDefault="00DA6D86" w:rsidP="00F1626B">
      <w:pPr>
        <w:pStyle w:val="ListeParagraf"/>
        <w:spacing w:after="0" w:line="276" w:lineRule="auto"/>
        <w:ind w:left="0"/>
        <w:rPr>
          <w:rFonts w:cstheme="minorHAnsi"/>
        </w:rPr>
      </w:pPr>
    </w:p>
    <w:p w14:paraId="7B9E7979" w14:textId="3715EBDB" w:rsidR="00DA6D86" w:rsidRPr="00F1626B" w:rsidRDefault="00DA6D86" w:rsidP="00F1626B">
      <w:pPr>
        <w:pStyle w:val="ListeParagraf"/>
        <w:spacing w:after="0" w:line="276" w:lineRule="auto"/>
        <w:ind w:left="0"/>
        <w:rPr>
          <w:rFonts w:cstheme="minorHAnsi"/>
          <w:b/>
        </w:rPr>
      </w:pPr>
      <w:r w:rsidRPr="00F1626B">
        <w:rPr>
          <w:rFonts w:cstheme="minorHAnsi"/>
          <w:b/>
        </w:rPr>
        <w:t>A.1.1 Kalite Güvence Sistemi</w:t>
      </w:r>
    </w:p>
    <w:p w14:paraId="595E577A" w14:textId="77777777" w:rsidR="00967897" w:rsidRPr="00F1626B" w:rsidRDefault="00967897" w:rsidP="00967897">
      <w:pPr>
        <w:spacing w:after="0" w:line="276" w:lineRule="auto"/>
        <w:ind w:firstLine="567"/>
        <w:jc w:val="both"/>
        <w:rPr>
          <w:rFonts w:cstheme="minorHAnsi"/>
        </w:rPr>
      </w:pPr>
      <w:r w:rsidRPr="00F1626B">
        <w:rPr>
          <w:rFonts w:cstheme="minorHAnsi"/>
        </w:rPr>
        <w:t>Fakültenin 2022-2026 yılları için oluştuğu 5 yıllık yeni Stratejik Planı (SP)</w:t>
      </w:r>
      <w:r>
        <w:rPr>
          <w:rFonts w:cstheme="minorHAnsi"/>
        </w:rPr>
        <w:t>,</w:t>
      </w:r>
      <w:r w:rsidRPr="00F1626B">
        <w:rPr>
          <w:rFonts w:cstheme="minorHAnsi"/>
        </w:rPr>
        <w:t xml:space="preserve"> fakültenin misyon ve </w:t>
      </w:r>
      <w:r>
        <w:rPr>
          <w:rFonts w:cstheme="minorHAnsi"/>
        </w:rPr>
        <w:t>vizyonu kapsamında</w:t>
      </w:r>
      <w:r w:rsidRPr="00F1626B">
        <w:rPr>
          <w:rFonts w:cstheme="minorHAnsi"/>
        </w:rPr>
        <w:t xml:space="preserve"> yapılmış ve web sitesinde paydaşlara duyurulmuştur.  Birim Geri Bildirim Raporu</w:t>
      </w:r>
      <w:r>
        <w:rPr>
          <w:rFonts w:cstheme="minorHAnsi"/>
        </w:rPr>
        <w:t xml:space="preserve">- 2020 </w:t>
      </w:r>
      <w:r w:rsidRPr="00F1626B">
        <w:rPr>
          <w:rFonts w:cstheme="minorHAnsi"/>
        </w:rPr>
        <w:t>(BGBR-2020)’de belirtilen “</w:t>
      </w:r>
      <w:proofErr w:type="spellStart"/>
      <w:r w:rsidRPr="00F1626B">
        <w:rPr>
          <w:rFonts w:cstheme="minorHAnsi"/>
        </w:rPr>
        <w:t>SP’de</w:t>
      </w:r>
      <w:proofErr w:type="spellEnd"/>
      <w:r w:rsidRPr="00F1626B">
        <w:rPr>
          <w:rFonts w:cstheme="minorHAnsi"/>
        </w:rPr>
        <w:t xml:space="preserve"> daha gerçekçi hedeflerin belirlenmesi” yönünde, yeni </w:t>
      </w:r>
      <w:proofErr w:type="spellStart"/>
      <w:r w:rsidRPr="00F1626B">
        <w:rPr>
          <w:rFonts w:cstheme="minorHAnsi"/>
        </w:rPr>
        <w:t>SP’de</w:t>
      </w:r>
      <w:proofErr w:type="spellEnd"/>
      <w:r w:rsidRPr="00F1626B">
        <w:rPr>
          <w:rFonts w:cstheme="minorHAnsi"/>
        </w:rPr>
        <w:t xml:space="preserve"> daha gerçekçi ve ölçülebilir hedefler belirlenmiş ve iyileştirme sağlanmıştır.  </w:t>
      </w:r>
      <w:proofErr w:type="spellStart"/>
      <w:r w:rsidRPr="00F1626B">
        <w:rPr>
          <w:rFonts w:cstheme="minorHAnsi"/>
        </w:rPr>
        <w:t>SP’de</w:t>
      </w:r>
      <w:proofErr w:type="spellEnd"/>
      <w:r w:rsidRPr="00F1626B">
        <w:rPr>
          <w:rFonts w:cstheme="minorHAnsi"/>
        </w:rPr>
        <w:t xml:space="preserve"> “güçlü bir kalite kültürü ve kalite güvence sistemi” amacına yönelik politikalar ve hedefler belirlenmiş ve bu kapsamda yapılacak faaliyetler planlanmıştır. Fakültenin BGBR-2020’de belirtilen; “politikaların gerçekleşmesi için belirlenen hedefler ile uyumlu faaliyetlerin yürütülmemesi ve izlemelerin yapılmamasına” yönelik değerlendirmelerde böylece iyileştirmeler getirilmiştir. Bu kapsamda, yeni </w:t>
      </w:r>
      <w:proofErr w:type="spellStart"/>
      <w:r w:rsidRPr="00F1626B">
        <w:rPr>
          <w:rFonts w:cstheme="minorHAnsi"/>
        </w:rPr>
        <w:t>SP’nin</w:t>
      </w:r>
      <w:proofErr w:type="spellEnd"/>
      <w:r w:rsidRPr="00F1626B">
        <w:rPr>
          <w:rFonts w:cstheme="minorHAnsi"/>
        </w:rPr>
        <w:t xml:space="preserve"> hazırlanmasında benimsenen politikalara uygun hedeflerin belirlenmiş olması PUKÖ çevriminin kaplatılmasına yönelik faaliyetleri de kapsadığından olumlu olarak değerlendirilmektedir. Ancak PUKÖ döngünsün kapat</w:t>
      </w:r>
      <w:r>
        <w:rPr>
          <w:rFonts w:cstheme="minorHAnsi"/>
        </w:rPr>
        <w:t>ıldığına</w:t>
      </w:r>
      <w:r w:rsidRPr="00F1626B">
        <w:rPr>
          <w:rFonts w:cstheme="minorHAnsi"/>
        </w:rPr>
        <w:t xml:space="preserve"> yönelik henüz bir uygulama bulunma</w:t>
      </w:r>
      <w:r>
        <w:rPr>
          <w:rFonts w:cstheme="minorHAnsi"/>
        </w:rPr>
        <w:t>ma</w:t>
      </w:r>
      <w:r w:rsidRPr="00F1626B">
        <w:rPr>
          <w:rFonts w:cstheme="minorHAnsi"/>
        </w:rPr>
        <w:t xml:space="preserve">ktadır. </w:t>
      </w:r>
    </w:p>
    <w:p w14:paraId="134ED0A5" w14:textId="77777777" w:rsidR="00967897" w:rsidRPr="00F1626B" w:rsidRDefault="00967897" w:rsidP="00967897">
      <w:pPr>
        <w:spacing w:after="0" w:line="276" w:lineRule="auto"/>
        <w:ind w:firstLine="567"/>
        <w:jc w:val="both"/>
        <w:rPr>
          <w:rFonts w:cstheme="minorHAnsi"/>
        </w:rPr>
      </w:pPr>
      <w:r w:rsidRPr="00F1626B">
        <w:rPr>
          <w:rFonts w:cstheme="minorHAnsi"/>
        </w:rPr>
        <w:t xml:space="preserve">Fakültenin paydaşlara duyurulmuş kalite politikası bulunmakta ve bu açıkça fakültenin web sitesinde yer almaktadır. Fakültenin misyon ve vizyon ifadeleri üniversitenin misyon ve vizyonu tamamlamakla birlikte belirlenen misyon ve vizyon ifadelerinin çok geniş kapsamda ele alındığı </w:t>
      </w:r>
      <w:r>
        <w:rPr>
          <w:rFonts w:cstheme="minorHAnsi"/>
        </w:rPr>
        <w:t xml:space="preserve">izlenmektedir.  Bu ifadelerin </w:t>
      </w:r>
      <w:r w:rsidRPr="00F1626B">
        <w:rPr>
          <w:rFonts w:cstheme="minorHAnsi"/>
        </w:rPr>
        <w:t>daha spesifik bir ala</w:t>
      </w:r>
      <w:r>
        <w:rPr>
          <w:rFonts w:cstheme="minorHAnsi"/>
        </w:rPr>
        <w:t xml:space="preserve">nı </w:t>
      </w:r>
      <w:r w:rsidRPr="00F1626B">
        <w:rPr>
          <w:rFonts w:cstheme="minorHAnsi"/>
        </w:rPr>
        <w:t>hedef göstere</w:t>
      </w:r>
      <w:r>
        <w:rPr>
          <w:rFonts w:cstheme="minorHAnsi"/>
        </w:rPr>
        <w:t>cek</w:t>
      </w:r>
      <w:r w:rsidRPr="00F1626B">
        <w:rPr>
          <w:rFonts w:cstheme="minorHAnsi"/>
        </w:rPr>
        <w:t xml:space="preserve"> şekilde </w:t>
      </w:r>
      <w:r>
        <w:rPr>
          <w:rFonts w:cstheme="minorHAnsi"/>
        </w:rPr>
        <w:t xml:space="preserve">düzenlenmesi, </w:t>
      </w:r>
      <w:r w:rsidRPr="00F1626B">
        <w:rPr>
          <w:rFonts w:cstheme="minorHAnsi"/>
        </w:rPr>
        <w:t>fakültenin</w:t>
      </w:r>
      <w:r>
        <w:rPr>
          <w:rFonts w:cstheme="minorHAnsi"/>
        </w:rPr>
        <w:t xml:space="preserve"> </w:t>
      </w:r>
      <w:r w:rsidRPr="00F1626B">
        <w:rPr>
          <w:rFonts w:cstheme="minorHAnsi"/>
        </w:rPr>
        <w:t>misyon ve vizyonun</w:t>
      </w:r>
      <w:r>
        <w:rPr>
          <w:rFonts w:cstheme="minorHAnsi"/>
        </w:rPr>
        <w:t>u daha açık ve güçlü</w:t>
      </w:r>
      <w:r w:rsidRPr="00F1626B">
        <w:rPr>
          <w:rFonts w:cstheme="minorHAnsi"/>
        </w:rPr>
        <w:t xml:space="preserve"> hale geti</w:t>
      </w:r>
      <w:r>
        <w:rPr>
          <w:rFonts w:cstheme="minorHAnsi"/>
        </w:rPr>
        <w:t xml:space="preserve">rebilir. </w:t>
      </w:r>
      <w:r w:rsidRPr="00F1626B">
        <w:rPr>
          <w:rFonts w:cstheme="minorHAnsi"/>
        </w:rPr>
        <w:t xml:space="preserve"> </w:t>
      </w:r>
    </w:p>
    <w:p w14:paraId="51A6FDF1" w14:textId="77777777" w:rsidR="00967897" w:rsidRPr="00F1626B" w:rsidRDefault="00967897" w:rsidP="00967897">
      <w:pPr>
        <w:spacing w:after="0" w:line="276" w:lineRule="auto"/>
        <w:ind w:firstLine="567"/>
        <w:jc w:val="both"/>
        <w:rPr>
          <w:rFonts w:cstheme="minorHAnsi"/>
        </w:rPr>
      </w:pPr>
      <w:r w:rsidRPr="00F1626B">
        <w:rPr>
          <w:rFonts w:cstheme="minorHAnsi"/>
        </w:rPr>
        <w:t xml:space="preserve">Fakülte bünyesinde kalite güvence sisteminin oluşturulmasına yönelik fakülte kalite komisyonu oluşturulmuş ve komisyonun çalışma usul ve esaslarının belirlenmiş ve paydaşlara duyurulmuştur. Fakülte bünyesinde eğitim öğretim, </w:t>
      </w:r>
      <w:proofErr w:type="spellStart"/>
      <w:r w:rsidRPr="00F1626B">
        <w:rPr>
          <w:rFonts w:cstheme="minorHAnsi"/>
        </w:rPr>
        <w:t>uluslararasılaşma</w:t>
      </w:r>
      <w:proofErr w:type="spellEnd"/>
      <w:r w:rsidRPr="00F1626B">
        <w:rPr>
          <w:rFonts w:cstheme="minorHAnsi"/>
        </w:rPr>
        <w:t xml:space="preserve"> ve diğer idari işlerin yürütülmesi için her akademik birimden üyelerin olduğu çalışma grupları oluşturulmuştur. </w:t>
      </w:r>
      <w:r>
        <w:rPr>
          <w:rFonts w:cstheme="minorHAnsi"/>
        </w:rPr>
        <w:t xml:space="preserve">Ancak </w:t>
      </w:r>
      <w:r w:rsidRPr="00F1626B">
        <w:rPr>
          <w:rFonts w:cstheme="minorHAnsi"/>
        </w:rPr>
        <w:t>BGBR-2020 ‘de belirtilen “komisyonun üyeleri arasında mezun ve dış paydaşlarında yer alması” yönünde bir iyileştirme bulunmamaktadır. Fakültenin kalite güvence sistemi web sitesinde kalite komisyonu alt çalışma grupları sekmesi oluşturulmuş olmasına rağmen alt komisyon üyeleri belirtilmemiştir.</w:t>
      </w:r>
    </w:p>
    <w:p w14:paraId="0E68E2A4" w14:textId="77777777" w:rsidR="00967897" w:rsidRPr="00F1626B" w:rsidRDefault="00967897" w:rsidP="00967897">
      <w:pPr>
        <w:spacing w:after="0" w:line="276" w:lineRule="auto"/>
        <w:ind w:firstLine="567"/>
        <w:jc w:val="both"/>
        <w:rPr>
          <w:rFonts w:cstheme="minorHAnsi"/>
        </w:rPr>
      </w:pPr>
      <w:r w:rsidRPr="00F1626B">
        <w:rPr>
          <w:rFonts w:cstheme="minorHAnsi"/>
        </w:rPr>
        <w:t xml:space="preserve">Paydaş katılımını sağlaya yönelik “danışma kurulu” mekanizması bulunmaktadır. Fakültenin paydaş katılımında danışma kurulları, başta eğitim-öğretim olmak üzere kararlarda yer almakla birlikte </w:t>
      </w:r>
      <w:proofErr w:type="gramStart"/>
      <w:r w:rsidRPr="00F1626B">
        <w:rPr>
          <w:rFonts w:cstheme="minorHAnsi"/>
        </w:rPr>
        <w:t>kalite</w:t>
      </w:r>
      <w:proofErr w:type="gramEnd"/>
      <w:r w:rsidRPr="00F1626B">
        <w:rPr>
          <w:rFonts w:cstheme="minorHAnsi"/>
        </w:rPr>
        <w:t xml:space="preserve"> güvence sistemi kapsamındaki süreçlere katılımları ile ilgili sonuçların değerlendirilmesi ve önlem alınması</w:t>
      </w:r>
      <w:r>
        <w:rPr>
          <w:rFonts w:cstheme="minorHAnsi"/>
        </w:rPr>
        <w:t>yla</w:t>
      </w:r>
      <w:r w:rsidRPr="00F1626B">
        <w:rPr>
          <w:rFonts w:cstheme="minorHAnsi"/>
        </w:rPr>
        <w:t xml:space="preserve"> ilgili faaliyetlere ilişkin kanıtlara rast</w:t>
      </w:r>
      <w:r>
        <w:rPr>
          <w:rFonts w:cstheme="minorHAnsi"/>
        </w:rPr>
        <w:t>lanılmamıştır</w:t>
      </w:r>
      <w:r w:rsidRPr="00F1626B">
        <w:rPr>
          <w:rFonts w:cstheme="minorHAnsi"/>
        </w:rPr>
        <w:t>.  BGBR-2020’de “fakülte bünyesinde yapılan toplantı veya diğer geribildirim mekanizmaların iyileştirme süreçlerine dahil edildiği ile ilgili PÜKO döngülerinin kapatıldığı” belirtilmekte birlikte BİDR 2021’de bu yönde uygulama ve kanıtlara rastlan</w:t>
      </w:r>
      <w:r>
        <w:rPr>
          <w:rFonts w:cstheme="minorHAnsi"/>
        </w:rPr>
        <w:t>a</w:t>
      </w:r>
      <w:r w:rsidRPr="00F1626B">
        <w:rPr>
          <w:rFonts w:cstheme="minorHAnsi"/>
        </w:rPr>
        <w:t xml:space="preserve">mamıştır. Akademik danışmanlık memnuniyet, mezun izleme, memnuniyet anketleri gibi bazı uygulamaların ve sonuçların değerlendirilmesi ve önlem alınması hususunda herhangi bir değerlendirmeye rastlanılmamıştır. BGBR-2020’de belirtilen “fakültenin </w:t>
      </w:r>
      <w:proofErr w:type="spellStart"/>
      <w:r w:rsidRPr="00F1626B">
        <w:rPr>
          <w:rFonts w:cstheme="minorHAnsi"/>
        </w:rPr>
        <w:t>uluslararasılaştırma</w:t>
      </w:r>
      <w:proofErr w:type="spellEnd"/>
      <w:r w:rsidRPr="00F1626B">
        <w:rPr>
          <w:rFonts w:cstheme="minorHAnsi"/>
        </w:rPr>
        <w:t xml:space="preserve"> stratejisi kapsamdan hedefleri doğrultusunda yürütülen faaliyetlerin belirlenmemiş olması” yönünde </w:t>
      </w:r>
      <w:proofErr w:type="spellStart"/>
      <w:r w:rsidRPr="00F1626B">
        <w:rPr>
          <w:rFonts w:cstheme="minorHAnsi"/>
        </w:rPr>
        <w:t>SP’de</w:t>
      </w:r>
      <w:proofErr w:type="spellEnd"/>
      <w:r w:rsidRPr="00F1626B">
        <w:rPr>
          <w:rFonts w:cstheme="minorHAnsi"/>
        </w:rPr>
        <w:t xml:space="preserve"> iyileştirmeler yapılmıştır. </w:t>
      </w:r>
    </w:p>
    <w:p w14:paraId="68CB6A1E" w14:textId="77777777" w:rsidR="00967897" w:rsidRPr="00F1626B" w:rsidRDefault="00967897" w:rsidP="00967897">
      <w:pPr>
        <w:spacing w:after="0" w:line="276" w:lineRule="auto"/>
        <w:ind w:firstLine="567"/>
        <w:jc w:val="both"/>
        <w:rPr>
          <w:rFonts w:cstheme="minorHAnsi"/>
        </w:rPr>
      </w:pPr>
      <w:r w:rsidRPr="00F1626B">
        <w:rPr>
          <w:rFonts w:cstheme="minorHAnsi"/>
        </w:rPr>
        <w:lastRenderedPageBreak/>
        <w:t xml:space="preserve">Kalite Güvence Sistemi başlığı altında kurum tarafından “Birim Geri Bildirim Raporu’nda yer verilen gelişmeye açık </w:t>
      </w:r>
      <w:proofErr w:type="spellStart"/>
      <w:r w:rsidRPr="00F1626B">
        <w:rPr>
          <w:rFonts w:cstheme="minorHAnsi"/>
        </w:rPr>
        <w:t>yanlar”a</w:t>
      </w:r>
      <w:proofErr w:type="spellEnd"/>
      <w:r w:rsidRPr="00F1626B">
        <w:rPr>
          <w:rFonts w:cstheme="minorHAnsi"/>
        </w:rPr>
        <w:t xml:space="preserve"> ilişkin gerçekleştirilen çalışma ve uygulamalara yer verilir.</w:t>
      </w:r>
    </w:p>
    <w:tbl>
      <w:tblPr>
        <w:tblStyle w:val="KlavuzTablo6Renkli-Vurgu6"/>
        <w:tblW w:w="0" w:type="auto"/>
        <w:tblLook w:val="04A0" w:firstRow="1" w:lastRow="0" w:firstColumn="1" w:lastColumn="0" w:noHBand="0" w:noVBand="1"/>
      </w:tblPr>
      <w:tblGrid>
        <w:gridCol w:w="4531"/>
        <w:gridCol w:w="4531"/>
      </w:tblGrid>
      <w:tr w:rsidR="00967897" w:rsidRPr="00F1626B" w14:paraId="7B94F968" w14:textId="77777777" w:rsidTr="00576E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5EB2F81C" w14:textId="77777777" w:rsidR="00967897" w:rsidRPr="00F1626B" w:rsidRDefault="00967897" w:rsidP="00576E21">
            <w:pPr>
              <w:spacing w:line="276" w:lineRule="auto"/>
              <w:jc w:val="center"/>
              <w:rPr>
                <w:rFonts w:cstheme="minorHAnsi"/>
                <w:bCs w:val="0"/>
                <w:i/>
                <w:color w:val="auto"/>
              </w:rPr>
            </w:pPr>
            <w:proofErr w:type="spellStart"/>
            <w:r w:rsidRPr="00F1626B">
              <w:rPr>
                <w:rFonts w:cstheme="minorHAnsi"/>
                <w:bCs w:val="0"/>
                <w:color w:val="auto"/>
              </w:rPr>
              <w:t>BGBR’ye</w:t>
            </w:r>
            <w:proofErr w:type="spellEnd"/>
            <w:r w:rsidRPr="00F1626B">
              <w:rPr>
                <w:rFonts w:cstheme="minorHAnsi"/>
                <w:bCs w:val="0"/>
                <w:color w:val="auto"/>
              </w:rPr>
              <w:t xml:space="preserve"> göre </w:t>
            </w:r>
            <w:proofErr w:type="spellStart"/>
            <w:r w:rsidRPr="00F1626B">
              <w:rPr>
                <w:rFonts w:cstheme="minorHAnsi"/>
                <w:bCs w:val="0"/>
                <w:color w:val="auto"/>
              </w:rPr>
              <w:t>iyilieştirmeye</w:t>
            </w:r>
            <w:proofErr w:type="spellEnd"/>
            <w:r w:rsidRPr="00F1626B">
              <w:rPr>
                <w:rFonts w:cstheme="minorHAnsi"/>
                <w:bCs w:val="0"/>
                <w:color w:val="auto"/>
              </w:rPr>
              <w:t xml:space="preserve"> açık yanlar</w:t>
            </w:r>
          </w:p>
        </w:tc>
        <w:tc>
          <w:tcPr>
            <w:tcW w:w="4531" w:type="dxa"/>
            <w:vAlign w:val="center"/>
          </w:tcPr>
          <w:p w14:paraId="12E523A4" w14:textId="77777777" w:rsidR="00967897" w:rsidRPr="00F1626B" w:rsidRDefault="00967897" w:rsidP="00576E21">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bCs w:val="0"/>
                <w:color w:val="auto"/>
              </w:rPr>
            </w:pPr>
            <w:r w:rsidRPr="00F1626B">
              <w:rPr>
                <w:rFonts w:cstheme="minorHAnsi"/>
                <w:bCs w:val="0"/>
                <w:color w:val="auto"/>
              </w:rPr>
              <w:t>İzleme Değerlendirmesi</w:t>
            </w:r>
          </w:p>
        </w:tc>
      </w:tr>
      <w:tr w:rsidR="00967897" w:rsidRPr="00F1626B" w14:paraId="679FB54D" w14:textId="77777777" w:rsidTr="00576E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1D30F8C7" w14:textId="77777777" w:rsidR="00967897" w:rsidRPr="00F1626B" w:rsidRDefault="00967897" w:rsidP="00967897">
            <w:pPr>
              <w:pStyle w:val="ListeParagraf"/>
              <w:numPr>
                <w:ilvl w:val="0"/>
                <w:numId w:val="2"/>
              </w:numPr>
              <w:spacing w:line="276" w:lineRule="auto"/>
              <w:jc w:val="both"/>
              <w:rPr>
                <w:rFonts w:cstheme="minorHAnsi"/>
                <w:bCs w:val="0"/>
                <w:i/>
                <w:color w:val="auto"/>
              </w:rPr>
            </w:pPr>
            <w:r w:rsidRPr="00F1626B">
              <w:rPr>
                <w:rFonts w:cstheme="minorHAnsi"/>
                <w:color w:val="auto"/>
              </w:rPr>
              <w:t>Stratejik Planda yer alan misyon ve vizyonun fakültenin eğitim-öğretim, Ar-Ge, Yönetim ve Toplumsal Katkı faaliyetlerini kapsayacak şekilde düzenlenmesi</w:t>
            </w:r>
          </w:p>
        </w:tc>
        <w:tc>
          <w:tcPr>
            <w:tcW w:w="4531" w:type="dxa"/>
            <w:vAlign w:val="center"/>
          </w:tcPr>
          <w:p w14:paraId="7AC4B6A4" w14:textId="77777777" w:rsidR="00967897" w:rsidRPr="00F1626B" w:rsidRDefault="00967897" w:rsidP="00967897">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bCs/>
                <w:color w:val="auto"/>
              </w:rPr>
            </w:pPr>
            <w:r w:rsidRPr="00F1626B">
              <w:rPr>
                <w:rFonts w:cstheme="minorHAnsi"/>
                <w:bCs/>
                <w:color w:val="auto"/>
              </w:rPr>
              <w:t xml:space="preserve">SP yer alan vizyon ve misyon genel olarak bu alanları kapsayacak şekilde ifade edilmiştir. Ancak misyon ve vizyon ifadeleri daha açık ve öz olacak şekilde gözden geçilmedir. </w:t>
            </w:r>
          </w:p>
        </w:tc>
      </w:tr>
      <w:tr w:rsidR="00967897" w:rsidRPr="00F1626B" w14:paraId="7E9781F7" w14:textId="77777777" w:rsidTr="00576E21">
        <w:trPr>
          <w:trHeight w:val="50"/>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74FB3166" w14:textId="77777777" w:rsidR="00967897" w:rsidRPr="00F1626B" w:rsidRDefault="00967897" w:rsidP="00967897">
            <w:pPr>
              <w:pStyle w:val="ListeParagraf"/>
              <w:numPr>
                <w:ilvl w:val="0"/>
                <w:numId w:val="2"/>
              </w:numPr>
              <w:spacing w:line="276" w:lineRule="auto"/>
              <w:jc w:val="both"/>
              <w:rPr>
                <w:rFonts w:cstheme="minorHAnsi"/>
                <w:bCs w:val="0"/>
                <w:i/>
                <w:color w:val="auto"/>
              </w:rPr>
            </w:pPr>
            <w:r w:rsidRPr="00F1626B">
              <w:rPr>
                <w:rFonts w:cstheme="minorHAnsi"/>
                <w:color w:val="auto"/>
              </w:rPr>
              <w:t>Stratejik Planda (SP) amaçları gerçekleştirecek hedeflerin ölçülebilir şeklinde olmaması nedeniyle izlenmesi ve değerlendirme sonucunda belirlenen hedeflere ulaşılmasından uzak olması</w:t>
            </w:r>
          </w:p>
        </w:tc>
        <w:tc>
          <w:tcPr>
            <w:tcW w:w="4531" w:type="dxa"/>
            <w:vAlign w:val="center"/>
          </w:tcPr>
          <w:p w14:paraId="63A2FB81" w14:textId="77777777" w:rsidR="00967897" w:rsidRPr="00F1626B" w:rsidRDefault="00967897" w:rsidP="00967897">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bCs/>
                <w:color w:val="auto"/>
              </w:rPr>
            </w:pPr>
            <w:r w:rsidRPr="00F1626B">
              <w:rPr>
                <w:rFonts w:cstheme="minorHAnsi"/>
                <w:bCs/>
                <w:color w:val="auto"/>
              </w:rPr>
              <w:t xml:space="preserve">2022-2026 </w:t>
            </w:r>
            <w:proofErr w:type="spellStart"/>
            <w:r w:rsidRPr="00F1626B">
              <w:rPr>
                <w:rFonts w:cstheme="minorHAnsi"/>
                <w:bCs/>
                <w:color w:val="auto"/>
              </w:rPr>
              <w:t>SP’de</w:t>
            </w:r>
            <w:proofErr w:type="spellEnd"/>
            <w:r w:rsidRPr="00F1626B">
              <w:rPr>
                <w:rFonts w:cstheme="minorHAnsi"/>
                <w:bCs/>
                <w:color w:val="auto"/>
              </w:rPr>
              <w:t xml:space="preserve"> belirlenen hedefler ve bunların ölçülmesine yönelik performans göstergeleri tanımlanmış ve faaliyetler planlanmıştır. </w:t>
            </w:r>
          </w:p>
        </w:tc>
      </w:tr>
      <w:tr w:rsidR="00967897" w:rsidRPr="00F1626B" w14:paraId="780011FE" w14:textId="77777777" w:rsidTr="00576E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1561D579" w14:textId="77777777" w:rsidR="00967897" w:rsidRPr="00F1626B" w:rsidRDefault="00967897" w:rsidP="00967897">
            <w:pPr>
              <w:pStyle w:val="ListeParagraf"/>
              <w:numPr>
                <w:ilvl w:val="0"/>
                <w:numId w:val="2"/>
              </w:numPr>
              <w:spacing w:line="276" w:lineRule="auto"/>
              <w:jc w:val="both"/>
              <w:rPr>
                <w:rFonts w:cstheme="minorHAnsi"/>
                <w:bCs w:val="0"/>
                <w:i/>
                <w:color w:val="auto"/>
              </w:rPr>
            </w:pPr>
            <w:r w:rsidRPr="00F1626B">
              <w:rPr>
                <w:rFonts w:cstheme="minorHAnsi"/>
                <w:color w:val="auto"/>
              </w:rPr>
              <w:t xml:space="preserve">Fakültenin kendine özgü kalite, eğitim-öğretim, Ar-Ge </w:t>
            </w:r>
            <w:proofErr w:type="spellStart"/>
            <w:r w:rsidRPr="00F1626B">
              <w:rPr>
                <w:rFonts w:cstheme="minorHAnsi"/>
                <w:color w:val="auto"/>
              </w:rPr>
              <w:t>politakalarının</w:t>
            </w:r>
            <w:proofErr w:type="spellEnd"/>
            <w:r w:rsidRPr="00F1626B">
              <w:rPr>
                <w:rFonts w:cstheme="minorHAnsi"/>
                <w:color w:val="auto"/>
              </w:rPr>
              <w:t xml:space="preserve"> bulunmaması</w:t>
            </w:r>
          </w:p>
        </w:tc>
        <w:tc>
          <w:tcPr>
            <w:tcW w:w="4531" w:type="dxa"/>
            <w:vAlign w:val="center"/>
          </w:tcPr>
          <w:p w14:paraId="6547366E" w14:textId="77777777" w:rsidR="00967897" w:rsidRPr="00F1626B" w:rsidRDefault="00967897" w:rsidP="00967897">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bCs/>
                <w:color w:val="auto"/>
              </w:rPr>
            </w:pPr>
            <w:r w:rsidRPr="00F1626B">
              <w:rPr>
                <w:rFonts w:cstheme="minorHAnsi"/>
                <w:bCs/>
                <w:color w:val="auto"/>
              </w:rPr>
              <w:t xml:space="preserve">Fakültenin kalite politikası web sitesinde açıkça belirtilmiş olmakla birlikte </w:t>
            </w:r>
            <w:proofErr w:type="spellStart"/>
            <w:r w:rsidRPr="00F1626B">
              <w:rPr>
                <w:rFonts w:cstheme="minorHAnsi"/>
                <w:bCs/>
                <w:color w:val="auto"/>
              </w:rPr>
              <w:t>BİDR’de</w:t>
            </w:r>
            <w:proofErr w:type="spellEnd"/>
            <w:r w:rsidRPr="00F1626B">
              <w:rPr>
                <w:rFonts w:cstheme="minorHAnsi"/>
                <w:bCs/>
                <w:color w:val="auto"/>
              </w:rPr>
              <w:t xml:space="preserve"> yer almamakta bunun yanında açık ve anlaşır bir eğitim-öğretim ve AR-GE politikası tespit edilememektedir. </w:t>
            </w:r>
          </w:p>
        </w:tc>
      </w:tr>
      <w:tr w:rsidR="00967897" w:rsidRPr="00F1626B" w14:paraId="63C14830" w14:textId="77777777" w:rsidTr="00576E21">
        <w:tc>
          <w:tcPr>
            <w:cnfStyle w:val="001000000000" w:firstRow="0" w:lastRow="0" w:firstColumn="1" w:lastColumn="0" w:oddVBand="0" w:evenVBand="0" w:oddHBand="0" w:evenHBand="0" w:firstRowFirstColumn="0" w:firstRowLastColumn="0" w:lastRowFirstColumn="0" w:lastRowLastColumn="0"/>
            <w:tcW w:w="4531" w:type="dxa"/>
            <w:vAlign w:val="center"/>
          </w:tcPr>
          <w:p w14:paraId="35BF3D07" w14:textId="77777777" w:rsidR="00967897" w:rsidRPr="00F1626B" w:rsidRDefault="00967897" w:rsidP="00967897">
            <w:pPr>
              <w:pStyle w:val="ListeParagraf"/>
              <w:numPr>
                <w:ilvl w:val="0"/>
                <w:numId w:val="2"/>
              </w:numPr>
              <w:spacing w:line="276" w:lineRule="auto"/>
              <w:jc w:val="both"/>
              <w:rPr>
                <w:rFonts w:cstheme="minorHAnsi"/>
                <w:bCs w:val="0"/>
                <w:color w:val="auto"/>
              </w:rPr>
            </w:pPr>
            <w:r w:rsidRPr="00F1626B">
              <w:rPr>
                <w:rFonts w:cstheme="minorHAnsi"/>
                <w:color w:val="auto"/>
              </w:rPr>
              <w:t>Kalite Komisyonu ve Alt komisyonun oluşumunda yeteri kadar dış paydaş katılımının sağlanmaması</w:t>
            </w:r>
          </w:p>
        </w:tc>
        <w:tc>
          <w:tcPr>
            <w:tcW w:w="4531" w:type="dxa"/>
            <w:vAlign w:val="center"/>
          </w:tcPr>
          <w:p w14:paraId="049503D9" w14:textId="77777777" w:rsidR="00967897" w:rsidRPr="00F1626B" w:rsidRDefault="00967897" w:rsidP="00967897">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bCs/>
                <w:color w:val="auto"/>
              </w:rPr>
            </w:pPr>
            <w:bookmarkStart w:id="0" w:name="_Hlk99231272"/>
            <w:r w:rsidRPr="00F1626B">
              <w:rPr>
                <w:rFonts w:cstheme="minorHAnsi"/>
                <w:bCs/>
                <w:color w:val="auto"/>
              </w:rPr>
              <w:t xml:space="preserve">Kalite komisyonu oluşturulmuş ancak alt </w:t>
            </w:r>
            <w:r>
              <w:rPr>
                <w:rFonts w:cstheme="minorHAnsi"/>
                <w:bCs/>
                <w:color w:val="auto"/>
              </w:rPr>
              <w:t xml:space="preserve">çalışma </w:t>
            </w:r>
            <w:r w:rsidRPr="00F1626B">
              <w:rPr>
                <w:rFonts w:cstheme="minorHAnsi"/>
                <w:bCs/>
                <w:color w:val="auto"/>
              </w:rPr>
              <w:t>komisyonlar</w:t>
            </w:r>
            <w:r>
              <w:rPr>
                <w:rFonts w:cstheme="minorHAnsi"/>
                <w:bCs/>
                <w:color w:val="auto"/>
              </w:rPr>
              <w:t>ı</w:t>
            </w:r>
            <w:r w:rsidRPr="00F1626B">
              <w:rPr>
                <w:rFonts w:cstheme="minorHAnsi"/>
                <w:bCs/>
                <w:color w:val="auto"/>
              </w:rPr>
              <w:t xml:space="preserve"> belirlenmemiştir</w:t>
            </w:r>
            <w:bookmarkEnd w:id="0"/>
            <w:r w:rsidRPr="00F1626B">
              <w:rPr>
                <w:rFonts w:cstheme="minorHAnsi"/>
                <w:bCs/>
                <w:color w:val="auto"/>
              </w:rPr>
              <w:t xml:space="preserve">. Fakülte kalite güvence sistemi web sayfasında </w:t>
            </w:r>
            <w:r>
              <w:rPr>
                <w:rFonts w:cstheme="minorHAnsi"/>
                <w:bCs/>
                <w:color w:val="auto"/>
              </w:rPr>
              <w:t xml:space="preserve">bu </w:t>
            </w:r>
            <w:r w:rsidRPr="00F1626B">
              <w:rPr>
                <w:rFonts w:cstheme="minorHAnsi"/>
                <w:bCs/>
                <w:color w:val="auto"/>
              </w:rPr>
              <w:t>bilgilendirmelere rastlan</w:t>
            </w:r>
            <w:r>
              <w:rPr>
                <w:rFonts w:cstheme="minorHAnsi"/>
                <w:bCs/>
                <w:color w:val="auto"/>
              </w:rPr>
              <w:t>a</w:t>
            </w:r>
            <w:r w:rsidRPr="00F1626B">
              <w:rPr>
                <w:rFonts w:cstheme="minorHAnsi"/>
                <w:bCs/>
                <w:color w:val="auto"/>
              </w:rPr>
              <w:t>ma</w:t>
            </w:r>
            <w:r>
              <w:rPr>
                <w:rFonts w:cstheme="minorHAnsi"/>
                <w:bCs/>
                <w:color w:val="auto"/>
              </w:rPr>
              <w:t>ma</w:t>
            </w:r>
            <w:r w:rsidRPr="00F1626B">
              <w:rPr>
                <w:rFonts w:cstheme="minorHAnsi"/>
                <w:bCs/>
                <w:color w:val="auto"/>
              </w:rPr>
              <w:t xml:space="preserve">ktadır.  </w:t>
            </w:r>
          </w:p>
        </w:tc>
      </w:tr>
      <w:tr w:rsidR="00967897" w:rsidRPr="00F1626B" w14:paraId="27B4BCE2" w14:textId="77777777" w:rsidTr="00576E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08FB47A9" w14:textId="77777777" w:rsidR="00967897" w:rsidRPr="00F1626B" w:rsidRDefault="00967897" w:rsidP="00967897">
            <w:pPr>
              <w:pStyle w:val="ListeParagraf"/>
              <w:numPr>
                <w:ilvl w:val="0"/>
                <w:numId w:val="2"/>
              </w:numPr>
              <w:spacing w:line="276" w:lineRule="auto"/>
              <w:jc w:val="both"/>
              <w:rPr>
                <w:rFonts w:cstheme="minorHAnsi"/>
                <w:bCs w:val="0"/>
                <w:i/>
                <w:iCs/>
                <w:color w:val="auto"/>
              </w:rPr>
            </w:pPr>
            <w:r w:rsidRPr="00F1626B">
              <w:rPr>
                <w:rFonts w:cstheme="minorHAnsi"/>
                <w:color w:val="auto"/>
              </w:rPr>
              <w:t>Kalite kültürünün yeterince yaygınlaştırılmamasına yönelik Fakülte bünyesinde yeni mekanizmaların geliştirilmesi</w:t>
            </w:r>
          </w:p>
        </w:tc>
        <w:tc>
          <w:tcPr>
            <w:tcW w:w="4531" w:type="dxa"/>
            <w:vAlign w:val="center"/>
          </w:tcPr>
          <w:p w14:paraId="2AF8D94A" w14:textId="77777777" w:rsidR="00967897" w:rsidRPr="00F1626B" w:rsidRDefault="00967897" w:rsidP="00967897">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bCs/>
                <w:color w:val="auto"/>
              </w:rPr>
            </w:pPr>
            <w:r w:rsidRPr="00F1626B">
              <w:rPr>
                <w:rFonts w:cstheme="minorHAnsi"/>
                <w:bCs/>
                <w:color w:val="auto"/>
              </w:rPr>
              <w:t xml:space="preserve">Fakültede kalite kültürünün yaygınlaşmasına yönelik komisyon oluşturma ve danışma kurullarından başka yeni bir faaliyet ve mekanizma yer almamaktadır </w:t>
            </w:r>
          </w:p>
        </w:tc>
      </w:tr>
      <w:tr w:rsidR="00967897" w:rsidRPr="00F1626B" w14:paraId="757BA849" w14:textId="77777777" w:rsidTr="00576E21">
        <w:tc>
          <w:tcPr>
            <w:cnfStyle w:val="001000000000" w:firstRow="0" w:lastRow="0" w:firstColumn="1" w:lastColumn="0" w:oddVBand="0" w:evenVBand="0" w:oddHBand="0" w:evenHBand="0" w:firstRowFirstColumn="0" w:firstRowLastColumn="0" w:lastRowFirstColumn="0" w:lastRowLastColumn="0"/>
            <w:tcW w:w="4531" w:type="dxa"/>
            <w:vAlign w:val="center"/>
          </w:tcPr>
          <w:p w14:paraId="5BBEEB23" w14:textId="77777777" w:rsidR="00967897" w:rsidRPr="00F1626B" w:rsidRDefault="00967897" w:rsidP="00967897">
            <w:pPr>
              <w:pStyle w:val="ListeParagraf"/>
              <w:numPr>
                <w:ilvl w:val="0"/>
                <w:numId w:val="2"/>
              </w:numPr>
              <w:spacing w:line="276" w:lineRule="auto"/>
              <w:jc w:val="both"/>
              <w:rPr>
                <w:rFonts w:cstheme="minorHAnsi"/>
                <w:bCs w:val="0"/>
                <w:i/>
                <w:iCs/>
                <w:color w:val="auto"/>
              </w:rPr>
            </w:pPr>
            <w:r w:rsidRPr="00F1626B">
              <w:rPr>
                <w:rFonts w:cstheme="minorHAnsi"/>
                <w:color w:val="auto"/>
              </w:rPr>
              <w:t>Paydaşların katılımları ile edilen sonuçların değerlendirilmesi ve önlem alınmasına yönelik mekanizmaların bulunmaması</w:t>
            </w:r>
          </w:p>
        </w:tc>
        <w:tc>
          <w:tcPr>
            <w:tcW w:w="4531" w:type="dxa"/>
            <w:vAlign w:val="center"/>
          </w:tcPr>
          <w:p w14:paraId="464F9108" w14:textId="77777777" w:rsidR="00967897" w:rsidRPr="002041BA" w:rsidRDefault="00967897" w:rsidP="00967897">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bCs/>
                <w:color w:val="auto"/>
              </w:rPr>
            </w:pPr>
            <w:r w:rsidRPr="002041BA">
              <w:rPr>
                <w:rFonts w:cstheme="minorHAnsi"/>
                <w:bCs/>
                <w:color w:val="auto"/>
              </w:rPr>
              <w:t xml:space="preserve">Danışma Kurullarıyla paydaş katılımı sağlanmış olmakla birlikte alınan kararların uygulanması ve gerekli önlemlerin alınması yönünde PUKÖ döngüsünü tamamlayan uygulamalar bulunmamaktadır. </w:t>
            </w:r>
          </w:p>
        </w:tc>
      </w:tr>
      <w:tr w:rsidR="00967897" w:rsidRPr="00F1626B" w14:paraId="56AFF4F5" w14:textId="77777777" w:rsidTr="00576E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23F3E432" w14:textId="77777777" w:rsidR="00967897" w:rsidRPr="00F1626B" w:rsidRDefault="00967897" w:rsidP="00967897">
            <w:pPr>
              <w:pStyle w:val="ListeParagraf"/>
              <w:numPr>
                <w:ilvl w:val="0"/>
                <w:numId w:val="2"/>
              </w:numPr>
              <w:spacing w:line="276" w:lineRule="auto"/>
              <w:jc w:val="both"/>
              <w:rPr>
                <w:rFonts w:cstheme="minorHAnsi"/>
                <w:bCs w:val="0"/>
                <w:i/>
                <w:iCs/>
                <w:color w:val="auto"/>
              </w:rPr>
            </w:pPr>
            <w:r w:rsidRPr="00F1626B">
              <w:rPr>
                <w:rFonts w:cstheme="minorHAnsi"/>
                <w:color w:val="auto"/>
              </w:rPr>
              <w:t xml:space="preserve">Birimin, </w:t>
            </w:r>
            <w:proofErr w:type="spellStart"/>
            <w:r w:rsidRPr="00F1626B">
              <w:rPr>
                <w:rFonts w:cstheme="minorHAnsi"/>
                <w:color w:val="auto"/>
              </w:rPr>
              <w:t>uluslararasılaştırma</w:t>
            </w:r>
            <w:proofErr w:type="spellEnd"/>
            <w:r w:rsidRPr="00F1626B">
              <w:rPr>
                <w:rFonts w:cstheme="minorHAnsi"/>
                <w:color w:val="auto"/>
              </w:rPr>
              <w:t xml:space="preserve"> stratejisi, hedefleri doğrultusunda yürütülen faaliyetler ve bu faaliyetlerin izlenmesi ve değerlendirilmesine yönelik herhangi bir mekanizmanın olmaması</w:t>
            </w:r>
          </w:p>
        </w:tc>
        <w:tc>
          <w:tcPr>
            <w:tcW w:w="4531" w:type="dxa"/>
            <w:vAlign w:val="center"/>
          </w:tcPr>
          <w:p w14:paraId="5E860663" w14:textId="7E78036F" w:rsidR="00967897" w:rsidRPr="002041BA" w:rsidRDefault="00967897" w:rsidP="00967897">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bCs/>
                <w:color w:val="auto"/>
              </w:rPr>
            </w:pPr>
            <w:r w:rsidRPr="002041BA">
              <w:rPr>
                <w:rFonts w:cstheme="minorHAnsi"/>
                <w:bCs/>
                <w:color w:val="auto"/>
              </w:rPr>
              <w:t xml:space="preserve">Fakültenin </w:t>
            </w:r>
            <w:proofErr w:type="spellStart"/>
            <w:r w:rsidRPr="002041BA">
              <w:rPr>
                <w:rFonts w:cstheme="minorHAnsi"/>
                <w:bCs/>
                <w:color w:val="auto"/>
              </w:rPr>
              <w:t>uluslararasılaştırma</w:t>
            </w:r>
            <w:proofErr w:type="spellEnd"/>
            <w:r w:rsidRPr="002041BA">
              <w:rPr>
                <w:rFonts w:cstheme="minorHAnsi"/>
                <w:bCs/>
                <w:color w:val="auto"/>
              </w:rPr>
              <w:t xml:space="preserve"> politikası ve hedefler SP ile belirlenmiş ve bu kapsamdaki faaliyetler yapılmaya başlandığı belirtilmiştir.  Ancak bunlara yönelik kanıtlar mevcut değildir. Ayrıca faaliyetlerin izlenmesi ve</w:t>
            </w:r>
            <w:r>
              <w:rPr>
                <w:rFonts w:cstheme="minorHAnsi"/>
                <w:bCs/>
                <w:color w:val="auto"/>
              </w:rPr>
              <w:t xml:space="preserve"> </w:t>
            </w:r>
            <w:r w:rsidRPr="002041BA">
              <w:rPr>
                <w:rFonts w:cstheme="minorHAnsi"/>
                <w:bCs/>
                <w:color w:val="auto"/>
              </w:rPr>
              <w:t xml:space="preserve">değerlendirilmesine yönelik mekanizmalara rastlanamamıştır. </w:t>
            </w:r>
          </w:p>
        </w:tc>
      </w:tr>
    </w:tbl>
    <w:p w14:paraId="6FDF1A0B" w14:textId="77777777" w:rsidR="00DA6D86" w:rsidRPr="00F1626B" w:rsidRDefault="00DA6D86" w:rsidP="00F1626B">
      <w:pPr>
        <w:pStyle w:val="ListeParagraf"/>
        <w:spacing w:after="0" w:line="276" w:lineRule="auto"/>
        <w:ind w:left="0"/>
        <w:rPr>
          <w:rFonts w:cstheme="minorHAnsi"/>
          <w:b/>
        </w:rPr>
      </w:pPr>
    </w:p>
    <w:p w14:paraId="0E233162" w14:textId="77777777" w:rsidR="00DA6D86" w:rsidRPr="00F1626B" w:rsidRDefault="00DA6D86" w:rsidP="00F1626B">
      <w:pPr>
        <w:spacing w:after="0" w:line="276" w:lineRule="auto"/>
        <w:rPr>
          <w:rFonts w:cstheme="minorHAnsi"/>
          <w:b/>
        </w:rPr>
      </w:pPr>
      <w:r w:rsidRPr="00F1626B">
        <w:rPr>
          <w:rFonts w:cstheme="minorHAnsi"/>
          <w:b/>
        </w:rPr>
        <w:br w:type="page"/>
      </w:r>
    </w:p>
    <w:p w14:paraId="54967B78" w14:textId="5CF71666" w:rsidR="00114F18" w:rsidRPr="00F1626B" w:rsidRDefault="00114F18" w:rsidP="00F1626B">
      <w:pPr>
        <w:pStyle w:val="ListeParagraf"/>
        <w:spacing w:after="0" w:line="276" w:lineRule="auto"/>
        <w:ind w:left="0"/>
        <w:rPr>
          <w:rFonts w:cstheme="minorHAnsi"/>
          <w:b/>
        </w:rPr>
      </w:pPr>
      <w:r w:rsidRPr="00F1626B">
        <w:rPr>
          <w:rFonts w:cstheme="minorHAnsi"/>
          <w:b/>
        </w:rPr>
        <w:lastRenderedPageBreak/>
        <w:t>A.1.</w:t>
      </w:r>
      <w:r w:rsidR="00EC1DA2" w:rsidRPr="00F1626B">
        <w:rPr>
          <w:rFonts w:cstheme="minorHAnsi"/>
          <w:b/>
        </w:rPr>
        <w:t>2</w:t>
      </w:r>
      <w:r w:rsidRPr="00F1626B">
        <w:rPr>
          <w:rFonts w:cstheme="minorHAnsi"/>
          <w:b/>
        </w:rPr>
        <w:t xml:space="preserve"> Eğitim-Öğretim </w:t>
      </w:r>
    </w:p>
    <w:p w14:paraId="76B6E5F6" w14:textId="570C79EB" w:rsidR="000E4934" w:rsidRPr="00F1626B" w:rsidRDefault="000E4934" w:rsidP="00F1626B">
      <w:pPr>
        <w:spacing w:after="0" w:line="276" w:lineRule="auto"/>
        <w:ind w:firstLine="709"/>
        <w:jc w:val="both"/>
        <w:rPr>
          <w:rFonts w:cstheme="minorHAnsi"/>
        </w:rPr>
      </w:pPr>
      <w:r w:rsidRPr="00F1626B">
        <w:rPr>
          <w:rFonts w:cstheme="minorHAnsi"/>
        </w:rPr>
        <w:t xml:space="preserve">Gastronomi ve Mutfak Sanatları Bölümünün amaçlarından ve eğitim yaklaşımından bahsedilmektedir. Ayrıca programın modelinden açık biçimde bahsedilmektedir. Bu bağlamda benimsenmiş olan 6+2 modeline göre; öğrenciler ilgili sektörde eğilimleri ve yetenekleri doğrultusunda yönlendirilerek en az 140 (yüz kırk) iş günü eğitim almaları sağlanmaktadır. </w:t>
      </w:r>
      <w:r w:rsidR="00EE4785" w:rsidRPr="00F1626B">
        <w:rPr>
          <w:rFonts w:cstheme="minorHAnsi"/>
        </w:rPr>
        <w:t>Bu uygulamanın hedefleri de açık biçimde raporda yer almaktadır.</w:t>
      </w:r>
      <w:r w:rsidR="00091075">
        <w:rPr>
          <w:rFonts w:cstheme="minorHAnsi"/>
        </w:rPr>
        <w:t xml:space="preserve"> Fakat dış paydaşlar ile ortak alınmış herhangi bir kararın beyanını içeren danışma kurulu kararlarına ilişkin bir tutanağa rastlanmamıştır.</w:t>
      </w:r>
    </w:p>
    <w:p w14:paraId="68F6E448" w14:textId="1CE0DD3F" w:rsidR="00EE4785" w:rsidRPr="00F1626B" w:rsidRDefault="00EE4785" w:rsidP="00F1626B">
      <w:pPr>
        <w:spacing w:after="0" w:line="276" w:lineRule="auto"/>
        <w:ind w:firstLine="709"/>
        <w:jc w:val="both"/>
        <w:rPr>
          <w:rFonts w:cstheme="minorHAnsi"/>
        </w:rPr>
      </w:pPr>
      <w:r w:rsidRPr="00F1626B">
        <w:rPr>
          <w:rFonts w:cstheme="minorHAnsi"/>
        </w:rPr>
        <w:t xml:space="preserve">Fakültede programların onaylanma süreci, eğitim-öğretim yılının kuramsal ve uygulamalı dersleri ile proje ve stajlarını gösteren eğitim-öğretim planlarının ilgili yönetmelik kararlarıyla </w:t>
      </w:r>
      <w:proofErr w:type="spellStart"/>
      <w:r w:rsidRPr="00F1626B">
        <w:rPr>
          <w:rFonts w:cstheme="minorHAnsi"/>
        </w:rPr>
        <w:t>TYYÇ’ye</w:t>
      </w:r>
      <w:proofErr w:type="spellEnd"/>
      <w:r w:rsidRPr="00F1626B">
        <w:rPr>
          <w:rFonts w:cstheme="minorHAnsi"/>
        </w:rPr>
        <w:t xml:space="preserve"> uygun olarak Bölüm Kurulunun önerisi, Fakülte Kurulunun uygun kararı ve Üniversitemiz Senatosu’nun onayı ile gerçekleşmektedir. Yeni açılan programlara ilişkin gerekçeler, ulusal ve uluslararası örnekler, dersler ve içerikleri, programın katkısı, öğretim elemanı bazında birimin altyapısı, öğrenci kabul koşulları vb. bilgileri içeren belgeler açık biçimde raporda sunulmuştur. </w:t>
      </w:r>
    </w:p>
    <w:p w14:paraId="62A0906C" w14:textId="45B0AA84" w:rsidR="00EE4785" w:rsidRPr="00F1626B" w:rsidRDefault="00091075" w:rsidP="00F1626B">
      <w:pPr>
        <w:spacing w:after="0" w:line="276" w:lineRule="auto"/>
        <w:ind w:firstLine="709"/>
        <w:jc w:val="both"/>
        <w:rPr>
          <w:rFonts w:cstheme="minorHAnsi"/>
        </w:rPr>
      </w:pPr>
      <w:r w:rsidRPr="00091075">
        <w:rPr>
          <w:rFonts w:cstheme="minorHAnsi"/>
          <w:i/>
          <w:iCs/>
        </w:rPr>
        <w:t>“</w:t>
      </w:r>
      <w:r w:rsidR="00EE4785" w:rsidRPr="00091075">
        <w:rPr>
          <w:rFonts w:cstheme="minorHAnsi"/>
          <w:i/>
          <w:iCs/>
        </w:rPr>
        <w:t>Programların tasarım kararları</w:t>
      </w:r>
      <w:r w:rsidR="003F18CF" w:rsidRPr="00091075">
        <w:rPr>
          <w:rFonts w:cstheme="minorHAnsi"/>
          <w:i/>
          <w:iCs/>
        </w:rPr>
        <w:t>na ilişkin süreçlerin ve paydaş ilişkilerinin nasıl yönetildiği açıkça ifade edilmiştir. P</w:t>
      </w:r>
      <w:r w:rsidR="00EE4785" w:rsidRPr="00091075">
        <w:rPr>
          <w:rFonts w:cstheme="minorHAnsi"/>
          <w:i/>
          <w:iCs/>
        </w:rPr>
        <w:t>aydaş görüşleri iç ve dış paydaşlara yapılan anketlerle belirlenmektedir. Gerekli durumlarda danışma kurulu toplantılarına iç ve dış paydaş temsilcileri de katılmaktadır. Türkiye Yükseköğretim Yeterlilikler Çerçevesiyle uyumlu olarak programların eğitim amaçları ve öğrenme çıktıları, Bologna Koordinatörlüğü internet sayfası (https://bologna.toros.edu.tr/) üzerinden açık erişim sağlanarak iç ve dış paydaşlara duyurul</w:t>
      </w:r>
      <w:r w:rsidR="003F18CF" w:rsidRPr="00091075">
        <w:rPr>
          <w:rFonts w:cstheme="minorHAnsi"/>
          <w:i/>
          <w:iCs/>
        </w:rPr>
        <w:t>duğuna vurgu yapılmış olup tüm kanıtlar açıkça raporda sunulmuştur</w:t>
      </w:r>
      <w:r w:rsidRPr="00091075">
        <w:rPr>
          <w:rFonts w:cstheme="minorHAnsi"/>
          <w:i/>
          <w:iCs/>
        </w:rPr>
        <w:t>”</w:t>
      </w:r>
      <w:r>
        <w:rPr>
          <w:rFonts w:cstheme="minorHAnsi"/>
        </w:rPr>
        <w:t xml:space="preserve"> ifadesi yer almakla birlikte konuya ilişkin kanıtlara verilen linkler üzerinden ulaşılamamaktadır.</w:t>
      </w:r>
    </w:p>
    <w:p w14:paraId="1FD516D1" w14:textId="327D3956" w:rsidR="00EE4785" w:rsidRPr="00091075" w:rsidRDefault="00091075" w:rsidP="00F1626B">
      <w:pPr>
        <w:spacing w:after="0" w:line="276" w:lineRule="auto"/>
        <w:ind w:firstLine="709"/>
        <w:jc w:val="both"/>
        <w:rPr>
          <w:rFonts w:cstheme="minorHAnsi"/>
        </w:rPr>
      </w:pPr>
      <w:r>
        <w:rPr>
          <w:rFonts w:cstheme="minorHAnsi"/>
        </w:rPr>
        <w:t xml:space="preserve">ÇAP ve Yan dal uygulamalarında iyileştirme ve paydaşlardan geri bildirimler alarak uygulamaları güçlendirme yaklaşımına ilişkin adımların atıldığından bahsedilmektedir. Fakat uygulamaların kanıtlanmasına yönelik bir somut veri bulunmamaktadır. Bununla birlikte web sitesi üzerinde bölümlerin kendi sekmelerinde ÇAP ve Yan dal uygulamasına ilişkin bir sekmenin olmadığı tespit edilmiştir. Bu yönüyle </w:t>
      </w:r>
      <w:r w:rsidR="00916EF9">
        <w:rPr>
          <w:rFonts w:cstheme="minorHAnsi"/>
        </w:rPr>
        <w:t>geliştirmesine başlanan uygulamanın geliştirmeye açık yan olarak kaldığı gözlemlenmiştir.</w:t>
      </w:r>
    </w:p>
    <w:p w14:paraId="3611BAC0" w14:textId="36377983" w:rsidR="00FB582C" w:rsidRDefault="00FB582C" w:rsidP="00F1626B">
      <w:pPr>
        <w:spacing w:after="0" w:line="276" w:lineRule="auto"/>
        <w:ind w:firstLine="709"/>
        <w:jc w:val="both"/>
        <w:rPr>
          <w:rFonts w:cstheme="minorHAnsi"/>
        </w:rPr>
      </w:pPr>
      <w:r w:rsidRPr="00F1626B">
        <w:rPr>
          <w:rFonts w:cstheme="minorHAnsi"/>
        </w:rPr>
        <w:t>Programın ders dağılım dengesi ve AKTS dağılımlarına ilişkin veriler raporda açık şekilde paylaşılmıştır. Ayrıca staj uygulamalarına ilişkin bilgi ve mezuniyet koşullarına ilişkin koşullara da raporda aynı bölümde yer verilmiştir.</w:t>
      </w:r>
    </w:p>
    <w:p w14:paraId="093D766D" w14:textId="46B20E33" w:rsidR="00916EF9" w:rsidRPr="00F1626B" w:rsidRDefault="00916EF9" w:rsidP="00F1626B">
      <w:pPr>
        <w:spacing w:after="0" w:line="276" w:lineRule="auto"/>
        <w:ind w:firstLine="709"/>
        <w:jc w:val="both"/>
        <w:rPr>
          <w:rFonts w:cstheme="minorHAnsi"/>
        </w:rPr>
      </w:pPr>
      <w:r>
        <w:rPr>
          <w:rFonts w:cstheme="minorHAnsi"/>
        </w:rPr>
        <w:t xml:space="preserve">BOLOGNA Bilgi sayfasına ilişkin veriler geçtiğimiz yıl verileri ile eksiksiz düzenlenmiştir. </w:t>
      </w:r>
      <w:r w:rsidR="00183B77">
        <w:rPr>
          <w:rFonts w:cstheme="minorHAnsi"/>
        </w:rPr>
        <w:t xml:space="preserve">Fakat geçtiğimiz yıla ilişkin sistemde düzenlenmemiş olan Gastronomi ve Mutfak Sanatları Bölümüne ilişkin herhangi bir BOLOGNA bilgilendirmesi bulunmamaktadır. Bu yönüyle gelişime açık yön olarak tespit edilmiştir. </w:t>
      </w:r>
    </w:p>
    <w:p w14:paraId="096E01A9" w14:textId="77777777" w:rsidR="009A2C83" w:rsidRPr="00F1626B" w:rsidRDefault="009A2C83" w:rsidP="00F1626B">
      <w:pPr>
        <w:spacing w:after="0" w:line="276" w:lineRule="auto"/>
        <w:ind w:firstLine="709"/>
        <w:jc w:val="both"/>
        <w:rPr>
          <w:rFonts w:cstheme="minorHAnsi"/>
          <w:b/>
        </w:rPr>
      </w:pPr>
      <w:r w:rsidRPr="00F1626B">
        <w:rPr>
          <w:rFonts w:cstheme="minorHAnsi"/>
        </w:rPr>
        <w:t xml:space="preserve">Eğitim-Öğretim başlığı altında kurum tarafından “Birim Geri Bildirim Raporu’nda yer verilen gelişmeye açık </w:t>
      </w:r>
      <w:proofErr w:type="spellStart"/>
      <w:r w:rsidRPr="00F1626B">
        <w:rPr>
          <w:rFonts w:cstheme="minorHAnsi"/>
        </w:rPr>
        <w:t>yanlar”a</w:t>
      </w:r>
      <w:proofErr w:type="spellEnd"/>
      <w:r w:rsidRPr="00F1626B">
        <w:rPr>
          <w:rFonts w:cstheme="minorHAnsi"/>
        </w:rPr>
        <w:t xml:space="preserve"> ilişkin gerçekleştirilen çalışma ve uygulamalara yer verilir.</w:t>
      </w:r>
    </w:p>
    <w:p w14:paraId="5C426F8F" w14:textId="77777777" w:rsidR="009A2C83" w:rsidRPr="00F1626B" w:rsidRDefault="009A2C83" w:rsidP="00F1626B">
      <w:pPr>
        <w:spacing w:after="0" w:line="276" w:lineRule="auto"/>
        <w:jc w:val="both"/>
        <w:rPr>
          <w:rFonts w:cstheme="minorHAnsi"/>
          <w:b/>
        </w:rPr>
      </w:pPr>
    </w:p>
    <w:tbl>
      <w:tblPr>
        <w:tblStyle w:val="KlavuzTablo6Renkli-Vurgu6"/>
        <w:tblW w:w="0" w:type="auto"/>
        <w:tblLook w:val="04A0" w:firstRow="1" w:lastRow="0" w:firstColumn="1" w:lastColumn="0" w:noHBand="0" w:noVBand="1"/>
      </w:tblPr>
      <w:tblGrid>
        <w:gridCol w:w="4531"/>
        <w:gridCol w:w="4531"/>
      </w:tblGrid>
      <w:tr w:rsidR="00F1626B" w:rsidRPr="00F1626B" w14:paraId="48CD46A9" w14:textId="77777777" w:rsidTr="00960D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7BBE9F81" w14:textId="77777777" w:rsidR="009A2C83" w:rsidRPr="00F1626B" w:rsidRDefault="009A2C83" w:rsidP="00F1626B">
            <w:pPr>
              <w:spacing w:line="276" w:lineRule="auto"/>
              <w:jc w:val="center"/>
              <w:rPr>
                <w:rFonts w:cstheme="minorHAnsi"/>
                <w:bCs w:val="0"/>
                <w:i/>
                <w:color w:val="auto"/>
              </w:rPr>
            </w:pPr>
            <w:proofErr w:type="spellStart"/>
            <w:r w:rsidRPr="00F1626B">
              <w:rPr>
                <w:rFonts w:cstheme="minorHAnsi"/>
                <w:bCs w:val="0"/>
                <w:color w:val="auto"/>
              </w:rPr>
              <w:t>BGBR’ye</w:t>
            </w:r>
            <w:proofErr w:type="spellEnd"/>
            <w:r w:rsidRPr="00F1626B">
              <w:rPr>
                <w:rFonts w:cstheme="minorHAnsi"/>
                <w:bCs w:val="0"/>
                <w:color w:val="auto"/>
              </w:rPr>
              <w:t xml:space="preserve"> göre </w:t>
            </w:r>
            <w:proofErr w:type="spellStart"/>
            <w:r w:rsidRPr="00F1626B">
              <w:rPr>
                <w:rFonts w:cstheme="minorHAnsi"/>
                <w:bCs w:val="0"/>
                <w:color w:val="auto"/>
              </w:rPr>
              <w:t>iyilieştirmeye</w:t>
            </w:r>
            <w:proofErr w:type="spellEnd"/>
            <w:r w:rsidRPr="00F1626B">
              <w:rPr>
                <w:rFonts w:cstheme="minorHAnsi"/>
                <w:bCs w:val="0"/>
                <w:color w:val="auto"/>
              </w:rPr>
              <w:t xml:space="preserve"> açık yanlar</w:t>
            </w:r>
          </w:p>
        </w:tc>
        <w:tc>
          <w:tcPr>
            <w:tcW w:w="4531" w:type="dxa"/>
            <w:vAlign w:val="center"/>
          </w:tcPr>
          <w:p w14:paraId="5AFA20E8" w14:textId="77777777" w:rsidR="009A2C83" w:rsidRPr="00F1626B" w:rsidRDefault="009A2C83" w:rsidP="00F1626B">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bCs w:val="0"/>
                <w:color w:val="auto"/>
              </w:rPr>
            </w:pPr>
            <w:r w:rsidRPr="00F1626B">
              <w:rPr>
                <w:rFonts w:cstheme="minorHAnsi"/>
                <w:bCs w:val="0"/>
                <w:color w:val="auto"/>
              </w:rPr>
              <w:t>İzleme Değerlendirmesi</w:t>
            </w:r>
          </w:p>
        </w:tc>
      </w:tr>
      <w:tr w:rsidR="00F1626B" w:rsidRPr="00F1626B" w14:paraId="3A406152" w14:textId="77777777" w:rsidTr="00960D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061CAE32" w14:textId="607A86BD" w:rsidR="009A2C83" w:rsidRPr="00F1626B" w:rsidRDefault="000E0A85" w:rsidP="00F1626B">
            <w:pPr>
              <w:pStyle w:val="Default"/>
              <w:numPr>
                <w:ilvl w:val="0"/>
                <w:numId w:val="4"/>
              </w:numPr>
              <w:spacing w:line="276" w:lineRule="auto"/>
              <w:ind w:left="34" w:firstLine="0"/>
              <w:jc w:val="both"/>
              <w:rPr>
                <w:rFonts w:asciiTheme="minorHAnsi" w:hAnsiTheme="minorHAnsi" w:cstheme="minorHAnsi"/>
                <w:i/>
                <w:color w:val="auto"/>
                <w:sz w:val="22"/>
                <w:szCs w:val="22"/>
              </w:rPr>
            </w:pPr>
            <w:r w:rsidRPr="00F1626B">
              <w:rPr>
                <w:rFonts w:asciiTheme="minorHAnsi" w:hAnsiTheme="minorHAnsi" w:cstheme="minorHAnsi"/>
                <w:color w:val="auto"/>
                <w:sz w:val="22"/>
                <w:szCs w:val="22"/>
              </w:rPr>
              <w:t xml:space="preserve">Fakültenin Eğitim-Öğretim politikası ifade edilmekle birlikte bunun benimsenmesi ile ilgili kararların bulunmaması ve paydaşlara duyurulmaması </w:t>
            </w:r>
          </w:p>
        </w:tc>
        <w:tc>
          <w:tcPr>
            <w:tcW w:w="4531" w:type="dxa"/>
            <w:vAlign w:val="center"/>
          </w:tcPr>
          <w:p w14:paraId="15535DC1" w14:textId="36D6A6FF" w:rsidR="009A2C83" w:rsidRPr="00F1626B" w:rsidRDefault="00FB582C" w:rsidP="00F1626B">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bCs/>
                <w:color w:val="auto"/>
              </w:rPr>
            </w:pPr>
            <w:r w:rsidRPr="00F1626B">
              <w:rPr>
                <w:rFonts w:cstheme="minorHAnsi"/>
                <w:bCs/>
                <w:color w:val="auto"/>
              </w:rPr>
              <w:t>Eğitim öğretime ilişkin politika açıkça ifade edilmiş</w:t>
            </w:r>
            <w:r w:rsidR="0040418E" w:rsidRPr="00F1626B">
              <w:rPr>
                <w:rFonts w:cstheme="minorHAnsi"/>
                <w:bCs/>
                <w:color w:val="auto"/>
              </w:rPr>
              <w:t xml:space="preserve"> olup kanıt gösterilen danışma kurul kararlarında açıkça ifade edilmiştir.</w:t>
            </w:r>
          </w:p>
        </w:tc>
      </w:tr>
      <w:tr w:rsidR="00F1626B" w:rsidRPr="00F1626B" w14:paraId="53AFDAE1" w14:textId="77777777" w:rsidTr="00960DAC">
        <w:tc>
          <w:tcPr>
            <w:cnfStyle w:val="001000000000" w:firstRow="0" w:lastRow="0" w:firstColumn="1" w:lastColumn="0" w:oddVBand="0" w:evenVBand="0" w:oddHBand="0" w:evenHBand="0" w:firstRowFirstColumn="0" w:firstRowLastColumn="0" w:lastRowFirstColumn="0" w:lastRowLastColumn="0"/>
            <w:tcW w:w="4531" w:type="dxa"/>
            <w:vAlign w:val="center"/>
          </w:tcPr>
          <w:p w14:paraId="52E26712" w14:textId="5BADE676" w:rsidR="009A2C83" w:rsidRPr="00F1626B" w:rsidRDefault="000E0A85" w:rsidP="00F1626B">
            <w:pPr>
              <w:pStyle w:val="Default"/>
              <w:numPr>
                <w:ilvl w:val="0"/>
                <w:numId w:val="4"/>
              </w:numPr>
              <w:spacing w:line="276" w:lineRule="auto"/>
              <w:ind w:left="34" w:firstLine="0"/>
              <w:jc w:val="both"/>
              <w:rPr>
                <w:rFonts w:asciiTheme="minorHAnsi" w:hAnsiTheme="minorHAnsi" w:cstheme="minorHAnsi"/>
                <w:b w:val="0"/>
                <w:color w:val="auto"/>
                <w:sz w:val="22"/>
                <w:szCs w:val="22"/>
              </w:rPr>
            </w:pPr>
            <w:r w:rsidRPr="00F1626B">
              <w:rPr>
                <w:rFonts w:asciiTheme="minorHAnsi" w:hAnsiTheme="minorHAnsi" w:cstheme="minorHAnsi"/>
                <w:color w:val="auto"/>
                <w:sz w:val="22"/>
                <w:szCs w:val="22"/>
              </w:rPr>
              <w:t xml:space="preserve">Bologna bilgi paketinde yer alan bazı bilgilerin güncellenmemesi </w:t>
            </w:r>
          </w:p>
        </w:tc>
        <w:tc>
          <w:tcPr>
            <w:tcW w:w="4531" w:type="dxa"/>
            <w:vAlign w:val="center"/>
          </w:tcPr>
          <w:p w14:paraId="5299070A" w14:textId="1FD2CC93" w:rsidR="009A2C83" w:rsidRPr="00F1626B" w:rsidRDefault="008C3731" w:rsidP="00F1626B">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bCs/>
                <w:color w:val="auto"/>
              </w:rPr>
            </w:pPr>
            <w:r w:rsidRPr="00F1626B">
              <w:rPr>
                <w:rFonts w:cstheme="minorHAnsi"/>
                <w:bCs/>
                <w:color w:val="auto"/>
              </w:rPr>
              <w:t xml:space="preserve">Bologna bilgi paketi 2020-2021 verileri açısından uygun ve güncel fakat 2021-2022 yılına ilişkin veriler sistemden kaynaklı paylaşılamamış </w:t>
            </w:r>
            <w:r w:rsidRPr="00F1626B">
              <w:rPr>
                <w:rFonts w:cstheme="minorHAnsi"/>
                <w:bCs/>
                <w:color w:val="auto"/>
              </w:rPr>
              <w:lastRenderedPageBreak/>
              <w:t>durumda.</w:t>
            </w:r>
            <w:r w:rsidR="00933E2A" w:rsidRPr="00F1626B">
              <w:rPr>
                <w:rFonts w:cstheme="minorHAnsi"/>
                <w:bCs/>
                <w:color w:val="auto"/>
              </w:rPr>
              <w:t xml:space="preserve"> Ayrıca Gastronomi ve Mutfak Sanatlarına ilişkin herhangi bir sayfa bulunmamaktadır. </w:t>
            </w:r>
          </w:p>
        </w:tc>
      </w:tr>
      <w:tr w:rsidR="00F1626B" w:rsidRPr="00F1626B" w14:paraId="38AE2003" w14:textId="77777777" w:rsidTr="00960D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1C6CD82F" w14:textId="60DEA8D8" w:rsidR="009A2C83" w:rsidRPr="00F1626B" w:rsidRDefault="000E0A85" w:rsidP="00F1626B">
            <w:pPr>
              <w:pStyle w:val="Default"/>
              <w:numPr>
                <w:ilvl w:val="0"/>
                <w:numId w:val="4"/>
              </w:numPr>
              <w:spacing w:line="276" w:lineRule="auto"/>
              <w:ind w:left="34" w:firstLine="0"/>
              <w:jc w:val="both"/>
              <w:rPr>
                <w:rFonts w:asciiTheme="minorHAnsi" w:hAnsiTheme="minorHAnsi" w:cstheme="minorHAnsi"/>
                <w:b w:val="0"/>
                <w:i/>
                <w:color w:val="auto"/>
                <w:sz w:val="22"/>
                <w:szCs w:val="22"/>
              </w:rPr>
            </w:pPr>
            <w:r w:rsidRPr="00F1626B">
              <w:rPr>
                <w:rFonts w:asciiTheme="minorHAnsi" w:hAnsiTheme="minorHAnsi" w:cstheme="minorHAnsi"/>
                <w:color w:val="auto"/>
                <w:sz w:val="22"/>
                <w:szCs w:val="22"/>
              </w:rPr>
              <w:lastRenderedPageBreak/>
              <w:t xml:space="preserve">Fakültenin bölümlerine bağlı bölümlerde akreditasyon olmaması </w:t>
            </w:r>
          </w:p>
        </w:tc>
        <w:tc>
          <w:tcPr>
            <w:tcW w:w="4531" w:type="dxa"/>
            <w:vAlign w:val="center"/>
          </w:tcPr>
          <w:p w14:paraId="16AE52E0" w14:textId="55435DB1" w:rsidR="009A2C83" w:rsidRPr="00F1626B" w:rsidRDefault="00933E2A" w:rsidP="00F1626B">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bCs/>
                <w:color w:val="auto"/>
              </w:rPr>
            </w:pPr>
            <w:r w:rsidRPr="00F1626B">
              <w:rPr>
                <w:rFonts w:cstheme="minorHAnsi"/>
                <w:bCs/>
                <w:color w:val="auto"/>
              </w:rPr>
              <w:t xml:space="preserve">Akreditasyon süreçlerinin başlatılmasına ilişkin herhangi bir bilgi paylaşılmamıştır. </w:t>
            </w:r>
          </w:p>
        </w:tc>
      </w:tr>
      <w:tr w:rsidR="00F1626B" w:rsidRPr="00F1626B" w14:paraId="561F944A" w14:textId="77777777" w:rsidTr="00960DAC">
        <w:tc>
          <w:tcPr>
            <w:cnfStyle w:val="001000000000" w:firstRow="0" w:lastRow="0" w:firstColumn="1" w:lastColumn="0" w:oddVBand="0" w:evenVBand="0" w:oddHBand="0" w:evenHBand="0" w:firstRowFirstColumn="0" w:firstRowLastColumn="0" w:lastRowFirstColumn="0" w:lastRowLastColumn="0"/>
            <w:tcW w:w="4531" w:type="dxa"/>
            <w:vAlign w:val="center"/>
          </w:tcPr>
          <w:p w14:paraId="0B0ED541" w14:textId="47E42895" w:rsidR="009A2C83" w:rsidRPr="00F1626B" w:rsidRDefault="000E0A85" w:rsidP="00F1626B">
            <w:pPr>
              <w:pStyle w:val="Default"/>
              <w:numPr>
                <w:ilvl w:val="0"/>
                <w:numId w:val="4"/>
              </w:numPr>
              <w:spacing w:line="276" w:lineRule="auto"/>
              <w:ind w:left="34" w:firstLine="0"/>
              <w:jc w:val="both"/>
              <w:rPr>
                <w:rFonts w:asciiTheme="minorHAnsi" w:hAnsiTheme="minorHAnsi" w:cstheme="minorHAnsi"/>
                <w:b w:val="0"/>
                <w:i/>
                <w:color w:val="auto"/>
                <w:sz w:val="22"/>
                <w:szCs w:val="22"/>
              </w:rPr>
            </w:pPr>
            <w:r w:rsidRPr="00F1626B">
              <w:rPr>
                <w:rFonts w:asciiTheme="minorHAnsi" w:hAnsiTheme="minorHAnsi" w:cstheme="minorHAnsi"/>
                <w:color w:val="auto"/>
                <w:sz w:val="22"/>
                <w:szCs w:val="22"/>
              </w:rPr>
              <w:t xml:space="preserve">Bölümdeki derslerin, staj gibi uygulamaların ders çıktılarına ulaşılmasın ve ders </w:t>
            </w:r>
            <w:r w:rsidR="00C75306" w:rsidRPr="00F1626B">
              <w:rPr>
                <w:rFonts w:asciiTheme="minorHAnsi" w:hAnsiTheme="minorHAnsi" w:cstheme="minorHAnsi"/>
                <w:color w:val="auto"/>
                <w:sz w:val="22"/>
                <w:szCs w:val="22"/>
              </w:rPr>
              <w:t>kazanımlarının</w:t>
            </w:r>
            <w:r w:rsidRPr="00F1626B">
              <w:rPr>
                <w:rFonts w:asciiTheme="minorHAnsi" w:hAnsiTheme="minorHAnsi" w:cstheme="minorHAnsi"/>
                <w:color w:val="auto"/>
                <w:sz w:val="22"/>
                <w:szCs w:val="22"/>
              </w:rPr>
              <w:t xml:space="preserve"> sağlanmasının izlenmemesi ve paydaşlarla birlikte önlemler alınmaması </w:t>
            </w:r>
          </w:p>
        </w:tc>
        <w:tc>
          <w:tcPr>
            <w:tcW w:w="4531" w:type="dxa"/>
            <w:vAlign w:val="center"/>
          </w:tcPr>
          <w:p w14:paraId="5317E100" w14:textId="4D4136F9" w:rsidR="009A2C83" w:rsidRPr="00F1626B" w:rsidRDefault="00234D17" w:rsidP="00F1626B">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bCs/>
                <w:color w:val="auto"/>
              </w:rPr>
            </w:pPr>
            <w:r w:rsidRPr="00F1626B">
              <w:rPr>
                <w:rFonts w:cstheme="minorHAnsi"/>
                <w:bCs/>
                <w:color w:val="auto"/>
              </w:rPr>
              <w:t>Ders ve staj uygulamalarının çıktılarının iyileştirilmesi ya da düzenlenmesine ilişkin paydaşlar ile değerlendirilmiş herhangi bir somut kanıt paylaşılmamıştır.</w:t>
            </w:r>
          </w:p>
        </w:tc>
      </w:tr>
      <w:tr w:rsidR="00F1626B" w:rsidRPr="00F1626B" w14:paraId="7D573FED" w14:textId="77777777" w:rsidTr="00960D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7C5179B6" w14:textId="70DB071A" w:rsidR="00234D17" w:rsidRPr="00F1626B" w:rsidRDefault="00234D17" w:rsidP="00F1626B">
            <w:pPr>
              <w:pStyle w:val="Default"/>
              <w:numPr>
                <w:ilvl w:val="0"/>
                <w:numId w:val="4"/>
              </w:numPr>
              <w:spacing w:line="276" w:lineRule="auto"/>
              <w:ind w:left="34" w:firstLine="0"/>
              <w:jc w:val="both"/>
              <w:rPr>
                <w:rFonts w:asciiTheme="minorHAnsi" w:hAnsiTheme="minorHAnsi" w:cstheme="minorHAnsi"/>
                <w:color w:val="auto"/>
                <w:sz w:val="22"/>
                <w:szCs w:val="22"/>
              </w:rPr>
            </w:pPr>
            <w:r w:rsidRPr="00F1626B">
              <w:rPr>
                <w:rFonts w:asciiTheme="minorHAnsi" w:hAnsiTheme="minorHAnsi" w:cstheme="minorHAnsi"/>
                <w:color w:val="auto"/>
                <w:sz w:val="22"/>
                <w:szCs w:val="22"/>
              </w:rPr>
              <w:t>Uzaktan eğitim ile verilen derslerin, ders izlencelerinin izlenmesi ve değerlendirmesinin yapılmaması</w:t>
            </w:r>
          </w:p>
        </w:tc>
        <w:tc>
          <w:tcPr>
            <w:tcW w:w="4531" w:type="dxa"/>
            <w:vAlign w:val="center"/>
          </w:tcPr>
          <w:p w14:paraId="5CB74176" w14:textId="3C54B53C" w:rsidR="00234D17" w:rsidRPr="00F1626B" w:rsidRDefault="00960DAC" w:rsidP="00F1626B">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bCs/>
                <w:color w:val="auto"/>
              </w:rPr>
            </w:pPr>
            <w:r w:rsidRPr="00F1626B">
              <w:rPr>
                <w:rFonts w:cstheme="minorHAnsi"/>
                <w:bCs/>
                <w:color w:val="auto"/>
              </w:rPr>
              <w:t>Ders izleme ve değerlendirmeye ilişkin kanıtlar paylaşılmamıştır.</w:t>
            </w:r>
          </w:p>
        </w:tc>
      </w:tr>
      <w:tr w:rsidR="00F1626B" w:rsidRPr="00F1626B" w14:paraId="29B57EE8" w14:textId="77777777" w:rsidTr="00960DAC">
        <w:tc>
          <w:tcPr>
            <w:cnfStyle w:val="001000000000" w:firstRow="0" w:lastRow="0" w:firstColumn="1" w:lastColumn="0" w:oddVBand="0" w:evenVBand="0" w:oddHBand="0" w:evenHBand="0" w:firstRowFirstColumn="0" w:firstRowLastColumn="0" w:lastRowFirstColumn="0" w:lastRowLastColumn="0"/>
            <w:tcW w:w="4531" w:type="dxa"/>
            <w:vAlign w:val="center"/>
          </w:tcPr>
          <w:p w14:paraId="1488CC2D" w14:textId="459F9CB8" w:rsidR="009A2C83" w:rsidRPr="00F1626B" w:rsidRDefault="000E0A85" w:rsidP="00F1626B">
            <w:pPr>
              <w:pStyle w:val="Default"/>
              <w:numPr>
                <w:ilvl w:val="0"/>
                <w:numId w:val="4"/>
              </w:numPr>
              <w:spacing w:line="276" w:lineRule="auto"/>
              <w:ind w:left="34" w:firstLine="0"/>
              <w:jc w:val="both"/>
              <w:rPr>
                <w:rFonts w:asciiTheme="minorHAnsi" w:hAnsiTheme="minorHAnsi" w:cstheme="minorHAnsi"/>
                <w:b w:val="0"/>
                <w:i/>
                <w:color w:val="auto"/>
                <w:sz w:val="22"/>
                <w:szCs w:val="22"/>
              </w:rPr>
            </w:pPr>
            <w:r w:rsidRPr="00F1626B">
              <w:rPr>
                <w:rFonts w:asciiTheme="minorHAnsi" w:hAnsiTheme="minorHAnsi" w:cstheme="minorHAnsi"/>
                <w:color w:val="auto"/>
                <w:sz w:val="22"/>
                <w:szCs w:val="22"/>
              </w:rPr>
              <w:t xml:space="preserve">Seçmeli derslerin ve alan dışı derslerin izlenmesi ve değerlendirilmesinde elde edilen sonuçların iyileştirme süreçlerinde kullanılmaması </w:t>
            </w:r>
          </w:p>
        </w:tc>
        <w:tc>
          <w:tcPr>
            <w:tcW w:w="4531" w:type="dxa"/>
            <w:vAlign w:val="center"/>
          </w:tcPr>
          <w:p w14:paraId="5F0DA666" w14:textId="07922D3D" w:rsidR="009A2C83" w:rsidRPr="00F1626B" w:rsidRDefault="00C75306" w:rsidP="00F1626B">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bCs/>
                <w:color w:val="auto"/>
              </w:rPr>
            </w:pPr>
            <w:r w:rsidRPr="00F1626B">
              <w:rPr>
                <w:rFonts w:cstheme="minorHAnsi"/>
                <w:bCs/>
                <w:color w:val="auto"/>
              </w:rPr>
              <w:t>Derslerin izlenmesine ilişkin anket, rapor, öğrenci geri bildirimi herhangi bir somut kanıta rastlanmamıştır. Sürecin iyi yanları ve yapılandırılmasından bahsedilmiştir.</w:t>
            </w:r>
          </w:p>
        </w:tc>
      </w:tr>
      <w:tr w:rsidR="00F1626B" w:rsidRPr="00F1626B" w14:paraId="1868EDFE" w14:textId="77777777" w:rsidTr="00960D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32D25AAE" w14:textId="2637DB48" w:rsidR="009A2C83" w:rsidRPr="00F1626B" w:rsidRDefault="000E0A85" w:rsidP="00F1626B">
            <w:pPr>
              <w:pStyle w:val="Default"/>
              <w:numPr>
                <w:ilvl w:val="0"/>
                <w:numId w:val="4"/>
              </w:numPr>
              <w:spacing w:line="276" w:lineRule="auto"/>
              <w:ind w:left="34" w:firstLine="0"/>
              <w:jc w:val="both"/>
              <w:rPr>
                <w:rFonts w:asciiTheme="minorHAnsi" w:hAnsiTheme="minorHAnsi" w:cstheme="minorHAnsi"/>
                <w:b w:val="0"/>
                <w:i/>
                <w:color w:val="auto"/>
                <w:sz w:val="22"/>
                <w:szCs w:val="22"/>
              </w:rPr>
            </w:pPr>
            <w:r w:rsidRPr="00F1626B">
              <w:rPr>
                <w:rFonts w:asciiTheme="minorHAnsi" w:hAnsiTheme="minorHAnsi" w:cstheme="minorHAnsi"/>
                <w:color w:val="auto"/>
                <w:sz w:val="22"/>
                <w:szCs w:val="22"/>
              </w:rPr>
              <w:t xml:space="preserve">Uzaktan eğitim ile yapılan derslerin ders izlencelerinin ve sınavların ölçme ve değerlendirme ve önlem alma çevriminin kapatılmaması </w:t>
            </w:r>
          </w:p>
        </w:tc>
        <w:tc>
          <w:tcPr>
            <w:tcW w:w="4531" w:type="dxa"/>
            <w:vAlign w:val="center"/>
          </w:tcPr>
          <w:p w14:paraId="4AED9B3A" w14:textId="275300AC" w:rsidR="009A2C83" w:rsidRPr="00F1626B" w:rsidRDefault="00C75306" w:rsidP="00F1626B">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bCs/>
                <w:color w:val="auto"/>
              </w:rPr>
            </w:pPr>
            <w:r w:rsidRPr="00F1626B">
              <w:rPr>
                <w:rFonts w:cstheme="minorHAnsi"/>
                <w:bCs/>
                <w:color w:val="auto"/>
              </w:rPr>
              <w:t xml:space="preserve">Sınavların yönetmelikleri ve derslere ilişkin Bologna bilgi paketleri ilgili raporda paylaşılmıştır (2020-2021 yılı için ve </w:t>
            </w:r>
            <w:r w:rsidR="00A452EA" w:rsidRPr="00F1626B">
              <w:rPr>
                <w:rFonts w:cstheme="minorHAnsi"/>
                <w:bCs/>
                <w:color w:val="auto"/>
              </w:rPr>
              <w:t>Gastronomi ve Mutfak Sanatları Bölümü hariç)</w:t>
            </w:r>
            <w:r w:rsidRPr="00F1626B">
              <w:rPr>
                <w:rFonts w:cstheme="minorHAnsi"/>
                <w:bCs/>
                <w:color w:val="auto"/>
              </w:rPr>
              <w:t>.</w:t>
            </w:r>
            <w:r w:rsidR="00A452EA" w:rsidRPr="00F1626B">
              <w:rPr>
                <w:rFonts w:cstheme="minorHAnsi"/>
                <w:bCs/>
                <w:color w:val="auto"/>
              </w:rPr>
              <w:t xml:space="preserve"> Fakat sürecin işletilmesi esnasında ve sonrasında dersin sorumlusu tarafından ya da benzer şekilde fakülte düzeyinde herhangi bir PUKÖ çevrimini kapatan adımdan bahsedilmemiştir. </w:t>
            </w:r>
            <w:r w:rsidRPr="00F1626B">
              <w:rPr>
                <w:rFonts w:cstheme="minorHAnsi"/>
                <w:bCs/>
                <w:color w:val="auto"/>
              </w:rPr>
              <w:t xml:space="preserve"> </w:t>
            </w:r>
          </w:p>
        </w:tc>
      </w:tr>
      <w:tr w:rsidR="00F1626B" w:rsidRPr="00F1626B" w14:paraId="73A84A04" w14:textId="77777777" w:rsidTr="00960DAC">
        <w:tc>
          <w:tcPr>
            <w:cnfStyle w:val="001000000000" w:firstRow="0" w:lastRow="0" w:firstColumn="1" w:lastColumn="0" w:oddVBand="0" w:evenVBand="0" w:oddHBand="0" w:evenHBand="0" w:firstRowFirstColumn="0" w:firstRowLastColumn="0" w:lastRowFirstColumn="0" w:lastRowLastColumn="0"/>
            <w:tcW w:w="4531" w:type="dxa"/>
            <w:vAlign w:val="center"/>
          </w:tcPr>
          <w:p w14:paraId="3E2645CC" w14:textId="18CDB224" w:rsidR="000E0A85" w:rsidRPr="00F1626B" w:rsidRDefault="000E0A85" w:rsidP="00F1626B">
            <w:pPr>
              <w:pStyle w:val="Default"/>
              <w:numPr>
                <w:ilvl w:val="0"/>
                <w:numId w:val="4"/>
              </w:numPr>
              <w:spacing w:line="276" w:lineRule="auto"/>
              <w:ind w:left="34" w:firstLine="0"/>
              <w:jc w:val="both"/>
              <w:rPr>
                <w:rFonts w:asciiTheme="minorHAnsi" w:hAnsiTheme="minorHAnsi" w:cstheme="minorHAnsi"/>
                <w:b w:val="0"/>
                <w:i/>
                <w:color w:val="auto"/>
                <w:sz w:val="22"/>
                <w:szCs w:val="22"/>
              </w:rPr>
            </w:pPr>
            <w:proofErr w:type="spellStart"/>
            <w:r w:rsidRPr="00F1626B">
              <w:rPr>
                <w:rFonts w:asciiTheme="minorHAnsi" w:hAnsiTheme="minorHAnsi" w:cstheme="minorHAnsi"/>
                <w:color w:val="auto"/>
                <w:sz w:val="22"/>
                <w:szCs w:val="22"/>
              </w:rPr>
              <w:t>İntörn</w:t>
            </w:r>
            <w:proofErr w:type="spellEnd"/>
            <w:r w:rsidRPr="00F1626B">
              <w:rPr>
                <w:rFonts w:asciiTheme="minorHAnsi" w:hAnsiTheme="minorHAnsi" w:cstheme="minorHAnsi"/>
                <w:color w:val="auto"/>
                <w:sz w:val="22"/>
                <w:szCs w:val="22"/>
              </w:rPr>
              <w:t xml:space="preserve"> uygulaması ve Staj ile ilgili uygulamalar bulunmakla birlikte bu uygulamalarının sonuçlarının izlenmesi ve paydaşlarla birlikte değerlendirme sonuçlarının iyileştirme sürecinde kullanılmaması </w:t>
            </w:r>
          </w:p>
        </w:tc>
        <w:tc>
          <w:tcPr>
            <w:tcW w:w="4531" w:type="dxa"/>
            <w:vAlign w:val="center"/>
          </w:tcPr>
          <w:p w14:paraId="5D507BC0" w14:textId="2767A563" w:rsidR="000E0A85" w:rsidRPr="00F1626B" w:rsidRDefault="0040418E" w:rsidP="00F1626B">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bCs/>
                <w:color w:val="auto"/>
              </w:rPr>
            </w:pPr>
            <w:proofErr w:type="spellStart"/>
            <w:r w:rsidRPr="00F1626B">
              <w:rPr>
                <w:rFonts w:cstheme="minorHAnsi"/>
                <w:bCs/>
                <w:color w:val="auto"/>
              </w:rPr>
              <w:t>İ</w:t>
            </w:r>
            <w:r w:rsidR="00534896" w:rsidRPr="00F1626B">
              <w:rPr>
                <w:rFonts w:cstheme="minorHAnsi"/>
                <w:bCs/>
                <w:color w:val="auto"/>
              </w:rPr>
              <w:t>ntörn</w:t>
            </w:r>
            <w:proofErr w:type="spellEnd"/>
            <w:r w:rsidR="00534896" w:rsidRPr="00F1626B">
              <w:rPr>
                <w:rFonts w:cstheme="minorHAnsi"/>
                <w:bCs/>
                <w:color w:val="auto"/>
              </w:rPr>
              <w:t xml:space="preserve"> ve staj süreci raporda açıkça ifade edilmekle birlikte izlenen sonuçlar ve paydaş bilgilendirilmesine ilişkin herhangi bir kanıta rastlanmamıştır. </w:t>
            </w:r>
          </w:p>
        </w:tc>
      </w:tr>
      <w:tr w:rsidR="00F1626B" w:rsidRPr="00F1626B" w14:paraId="75C19937" w14:textId="77777777" w:rsidTr="00960D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3B14E183" w14:textId="6000C68B" w:rsidR="000E0A85" w:rsidRPr="00F1626B" w:rsidRDefault="000E0A85" w:rsidP="00F1626B">
            <w:pPr>
              <w:pStyle w:val="Default"/>
              <w:numPr>
                <w:ilvl w:val="0"/>
                <w:numId w:val="4"/>
              </w:numPr>
              <w:spacing w:line="276" w:lineRule="auto"/>
              <w:ind w:left="34" w:firstLine="0"/>
              <w:jc w:val="both"/>
              <w:rPr>
                <w:rFonts w:asciiTheme="minorHAnsi" w:hAnsiTheme="minorHAnsi" w:cstheme="minorHAnsi"/>
                <w:b w:val="0"/>
                <w:i/>
                <w:color w:val="auto"/>
                <w:sz w:val="22"/>
                <w:szCs w:val="22"/>
              </w:rPr>
            </w:pPr>
            <w:r w:rsidRPr="00F1626B">
              <w:rPr>
                <w:rFonts w:asciiTheme="minorHAnsi" w:hAnsiTheme="minorHAnsi" w:cstheme="minorHAnsi"/>
                <w:color w:val="auto"/>
                <w:sz w:val="22"/>
                <w:szCs w:val="22"/>
              </w:rPr>
              <w:t xml:space="preserve">Öğrencilerin başarı düzeyleri, ÇAP/yan dal eğitimleri, normal öğrenim süresinde mezun olabilme oranları, programlarda doluluk ve </w:t>
            </w:r>
            <w:r w:rsidR="00715117" w:rsidRPr="00F1626B">
              <w:rPr>
                <w:rFonts w:asciiTheme="minorHAnsi" w:hAnsiTheme="minorHAnsi" w:cstheme="minorHAnsi"/>
                <w:color w:val="auto"/>
                <w:sz w:val="22"/>
                <w:szCs w:val="22"/>
              </w:rPr>
              <w:t>istihdam</w:t>
            </w:r>
            <w:r w:rsidRPr="00F1626B">
              <w:rPr>
                <w:rFonts w:asciiTheme="minorHAnsi" w:hAnsiTheme="minorHAnsi" w:cstheme="minorHAnsi"/>
                <w:color w:val="auto"/>
                <w:sz w:val="22"/>
                <w:szCs w:val="22"/>
              </w:rPr>
              <w:t xml:space="preserve"> oranları gibi sonuçların paydaşlarla birlikte değerlendirilerek iyileştirmeler yapılmaması </w:t>
            </w:r>
          </w:p>
        </w:tc>
        <w:tc>
          <w:tcPr>
            <w:tcW w:w="4531" w:type="dxa"/>
            <w:vAlign w:val="center"/>
          </w:tcPr>
          <w:p w14:paraId="2B1C3FA0" w14:textId="1B376F67" w:rsidR="000E0A85" w:rsidRPr="00F1626B" w:rsidRDefault="00715117" w:rsidP="00F1626B">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bCs/>
                <w:color w:val="auto"/>
              </w:rPr>
            </w:pPr>
            <w:r w:rsidRPr="00F1626B">
              <w:rPr>
                <w:rFonts w:cstheme="minorHAnsi"/>
                <w:bCs/>
                <w:color w:val="auto"/>
              </w:rPr>
              <w:t>Eğitim süreçleri ve mezuniyet koşullarına ilişkin bilgiler paylaşılmakla birlikte ÇAP/yan dal eğitim oranlarını gösteren bir kanıt ve paydaş bilgilendirmesini içeren belgeye rastlanmamıştır.</w:t>
            </w:r>
          </w:p>
        </w:tc>
      </w:tr>
      <w:tr w:rsidR="00F1626B" w:rsidRPr="00F1626B" w14:paraId="38DBBABF" w14:textId="77777777" w:rsidTr="00960DAC">
        <w:tc>
          <w:tcPr>
            <w:cnfStyle w:val="001000000000" w:firstRow="0" w:lastRow="0" w:firstColumn="1" w:lastColumn="0" w:oddVBand="0" w:evenVBand="0" w:oddHBand="0" w:evenHBand="0" w:firstRowFirstColumn="0" w:firstRowLastColumn="0" w:lastRowFirstColumn="0" w:lastRowLastColumn="0"/>
            <w:tcW w:w="4531" w:type="dxa"/>
            <w:vAlign w:val="center"/>
          </w:tcPr>
          <w:p w14:paraId="36A9E54B" w14:textId="59DF59D0" w:rsidR="000E0A85" w:rsidRPr="00F1626B" w:rsidRDefault="000E0A85" w:rsidP="00F1626B">
            <w:pPr>
              <w:pStyle w:val="Default"/>
              <w:numPr>
                <w:ilvl w:val="0"/>
                <w:numId w:val="4"/>
              </w:numPr>
              <w:spacing w:line="276" w:lineRule="auto"/>
              <w:ind w:left="34" w:firstLine="0"/>
              <w:jc w:val="both"/>
              <w:rPr>
                <w:rFonts w:asciiTheme="minorHAnsi" w:hAnsiTheme="minorHAnsi" w:cstheme="minorHAnsi"/>
                <w:b w:val="0"/>
                <w:i/>
                <w:color w:val="auto"/>
                <w:sz w:val="22"/>
                <w:szCs w:val="22"/>
              </w:rPr>
            </w:pPr>
            <w:r w:rsidRPr="00F1626B">
              <w:rPr>
                <w:rFonts w:asciiTheme="minorHAnsi" w:hAnsiTheme="minorHAnsi" w:cstheme="minorHAnsi"/>
                <w:color w:val="auto"/>
                <w:sz w:val="22"/>
                <w:szCs w:val="22"/>
              </w:rPr>
              <w:t xml:space="preserve">Akademik danışmanlık sistemi ve özel yaklaşım gerektiren öğrencilere yönelik uygulamaların sonuçlarının izlenme, değerlendirme ve önlem alma çevriminin kapatılmaması </w:t>
            </w:r>
          </w:p>
        </w:tc>
        <w:tc>
          <w:tcPr>
            <w:tcW w:w="4531" w:type="dxa"/>
            <w:vAlign w:val="center"/>
          </w:tcPr>
          <w:p w14:paraId="2ECE3BE0" w14:textId="316166DE" w:rsidR="000E0A85" w:rsidRPr="00F1626B" w:rsidRDefault="00476F75" w:rsidP="00F1626B">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bCs/>
                <w:color w:val="auto"/>
              </w:rPr>
            </w:pPr>
            <w:r w:rsidRPr="00F1626B">
              <w:rPr>
                <w:rFonts w:cstheme="minorHAnsi"/>
                <w:bCs/>
                <w:color w:val="auto"/>
              </w:rPr>
              <w:t xml:space="preserve">Daha önce de ifade edilen konulara ilişkin eksiklikler devam etmektedir. </w:t>
            </w:r>
          </w:p>
        </w:tc>
      </w:tr>
      <w:tr w:rsidR="00F1626B" w:rsidRPr="00F1626B" w14:paraId="13B13E73" w14:textId="77777777" w:rsidTr="00960D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1C505C2F" w14:textId="688561AB" w:rsidR="000E0A85" w:rsidRPr="00F1626B" w:rsidRDefault="000E0A85" w:rsidP="00F1626B">
            <w:pPr>
              <w:pStyle w:val="Default"/>
              <w:numPr>
                <w:ilvl w:val="0"/>
                <w:numId w:val="4"/>
              </w:numPr>
              <w:spacing w:line="276" w:lineRule="auto"/>
              <w:ind w:left="34" w:firstLine="0"/>
              <w:jc w:val="both"/>
              <w:rPr>
                <w:rFonts w:asciiTheme="minorHAnsi" w:hAnsiTheme="minorHAnsi" w:cstheme="minorHAnsi"/>
                <w:color w:val="auto"/>
                <w:sz w:val="22"/>
                <w:szCs w:val="22"/>
              </w:rPr>
            </w:pPr>
            <w:r w:rsidRPr="00F1626B">
              <w:rPr>
                <w:rFonts w:asciiTheme="minorHAnsi" w:hAnsiTheme="minorHAnsi" w:cstheme="minorHAnsi"/>
                <w:color w:val="auto"/>
                <w:sz w:val="22"/>
                <w:szCs w:val="22"/>
              </w:rPr>
              <w:t xml:space="preserve">Eğitim-öğretim kadrosunun yetkinliğinin arttırılmasına yönelik fakülte bazında faaliyetlerin olmaması </w:t>
            </w:r>
          </w:p>
        </w:tc>
        <w:tc>
          <w:tcPr>
            <w:tcW w:w="4531" w:type="dxa"/>
            <w:vAlign w:val="center"/>
          </w:tcPr>
          <w:p w14:paraId="51ED3258" w14:textId="3AA5A978" w:rsidR="000E0A85" w:rsidRPr="00F1626B" w:rsidRDefault="00476F75" w:rsidP="00F1626B">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bCs/>
                <w:color w:val="auto"/>
              </w:rPr>
            </w:pPr>
            <w:r w:rsidRPr="00F1626B">
              <w:rPr>
                <w:rFonts w:cstheme="minorHAnsi"/>
                <w:bCs/>
                <w:color w:val="auto"/>
              </w:rPr>
              <w:t xml:space="preserve">Ders değerlendirme anketleri üzerinden dersin sorumlusunun değerlendirilmesi hedeflenmiştir. </w:t>
            </w:r>
            <w:r w:rsidR="002A3BA1" w:rsidRPr="00F1626B">
              <w:rPr>
                <w:rFonts w:cstheme="minorHAnsi"/>
                <w:bCs/>
                <w:color w:val="auto"/>
              </w:rPr>
              <w:t xml:space="preserve">Bununla birlikte eğiticilerin eğitimi şeklinde </w:t>
            </w:r>
            <w:r w:rsidR="002A3BA1" w:rsidRPr="00F1626B">
              <w:rPr>
                <w:rFonts w:cstheme="minorHAnsi"/>
                <w:bCs/>
                <w:color w:val="auto"/>
              </w:rPr>
              <w:lastRenderedPageBreak/>
              <w:t>planlanan herhangi bir uygulamadan bahsedilmemektedir.</w:t>
            </w:r>
          </w:p>
        </w:tc>
      </w:tr>
    </w:tbl>
    <w:p w14:paraId="7AC83A5A" w14:textId="77777777" w:rsidR="002A3BA1" w:rsidRPr="00F1626B" w:rsidRDefault="002A3BA1" w:rsidP="00F1626B">
      <w:pPr>
        <w:pStyle w:val="ListeParagraf"/>
        <w:spacing w:after="0" w:line="276" w:lineRule="auto"/>
        <w:ind w:left="0"/>
        <w:rPr>
          <w:rFonts w:cstheme="minorHAnsi"/>
          <w:b/>
        </w:rPr>
      </w:pPr>
    </w:p>
    <w:p w14:paraId="53262E0E" w14:textId="6E739B2F" w:rsidR="00EC1DA2" w:rsidRPr="00F1626B" w:rsidRDefault="00EC1DA2" w:rsidP="00F1626B">
      <w:pPr>
        <w:pStyle w:val="ListeParagraf"/>
        <w:spacing w:after="0" w:line="276" w:lineRule="auto"/>
        <w:ind w:left="0"/>
        <w:rPr>
          <w:rFonts w:cstheme="minorHAnsi"/>
          <w:b/>
        </w:rPr>
      </w:pPr>
      <w:r w:rsidRPr="00F1626B">
        <w:rPr>
          <w:rFonts w:cstheme="minorHAnsi"/>
          <w:b/>
        </w:rPr>
        <w:t>A.1.</w:t>
      </w:r>
      <w:r w:rsidR="00E97758" w:rsidRPr="00F1626B">
        <w:rPr>
          <w:rFonts w:cstheme="minorHAnsi"/>
          <w:b/>
        </w:rPr>
        <w:t>3</w:t>
      </w:r>
      <w:r w:rsidRPr="00F1626B">
        <w:rPr>
          <w:rFonts w:cstheme="minorHAnsi"/>
          <w:b/>
        </w:rPr>
        <w:t xml:space="preserve"> Araştırma-Geliştirme </w:t>
      </w:r>
    </w:p>
    <w:p w14:paraId="34AEE427" w14:textId="77777777" w:rsidR="00321FA1" w:rsidRPr="00321FA1" w:rsidRDefault="00321FA1" w:rsidP="00321FA1">
      <w:pPr>
        <w:spacing w:after="0" w:line="276" w:lineRule="auto"/>
        <w:ind w:firstLine="709"/>
        <w:jc w:val="both"/>
        <w:rPr>
          <w:rFonts w:cstheme="minorHAnsi"/>
        </w:rPr>
      </w:pPr>
      <w:r w:rsidRPr="00321FA1">
        <w:rPr>
          <w:rFonts w:cstheme="minorHAnsi"/>
        </w:rPr>
        <w:t xml:space="preserve">1. GSTMF 2020 BGBR </w:t>
      </w:r>
      <w:proofErr w:type="spellStart"/>
      <w:r w:rsidRPr="00321FA1">
        <w:rPr>
          <w:rFonts w:cstheme="minorHAnsi"/>
        </w:rPr>
        <w:t>nin</w:t>
      </w:r>
      <w:proofErr w:type="spellEnd"/>
      <w:r w:rsidRPr="00321FA1">
        <w:rPr>
          <w:rFonts w:cstheme="minorHAnsi"/>
        </w:rPr>
        <w:t xml:space="preserve"> ARAŞTIRMA GELİŞTİRME bölümünün 3. maddesinde yer alan ‘‘Fakülte araştırma performansının izlenmesinde araştırma kadrosunun ve doktora program sayısının arttırılması, araştırma alt yapısının kuvvetlendirilmesi amacıyla iç kaynak bütçesinin arttırılması gibi önlemlerin alınmasıyla iyileştirilmeler yapılabileceğini belirtmiştir. Ancak, araştırma performansının nasıl ölçüleceği ve değerlendirileceği ile ilgili bir mekanizma bulunmamaktadır. Bu bağlamda ön görülen iyileştirilmelerin planlanması, izlenmesi, değerlendirilmesi ve önlemlerin alınmasının yararlı olacağı değerlendirilmektedir’’ değerlendirmesine istinaden hazırlanan 2021 BİDR raporunda ‘‘Kurum araştırma faaliyetleri yıllık bazda izlenir, değerlendirilir, hedeflerle karşılaştırılır ve sapmaların nedenleri irdelenir. Kurumun araştırma alanlarının üniversite içi bilinirliği, üniversite dışı bilinirliği yapılan yayınlar ve katılım sağlanan kongreler ile artırılabilir’’ ifadesi ile araştırma performansının nasıl ölçüleceği, değerlendirileceği bilgisi ve planlanan iyileştirme raporda belirtilmesine rağmen değerlendirme sonucunda nasıl bir önlem alınması gerektiği ile ilgili bir verinin olmaması PUKO </w:t>
      </w:r>
      <w:proofErr w:type="spellStart"/>
      <w:r w:rsidRPr="00321FA1">
        <w:rPr>
          <w:rFonts w:cstheme="minorHAnsi"/>
        </w:rPr>
        <w:t>nun</w:t>
      </w:r>
      <w:proofErr w:type="spellEnd"/>
      <w:r w:rsidRPr="00321FA1">
        <w:rPr>
          <w:rFonts w:cstheme="minorHAnsi"/>
        </w:rPr>
        <w:t xml:space="preserve"> kapatılmadığını gösterir.</w:t>
      </w:r>
    </w:p>
    <w:p w14:paraId="34737B4B" w14:textId="77777777" w:rsidR="00321FA1" w:rsidRPr="00321FA1" w:rsidRDefault="00321FA1" w:rsidP="00321FA1">
      <w:pPr>
        <w:spacing w:after="0" w:line="276" w:lineRule="auto"/>
        <w:ind w:firstLine="709"/>
        <w:jc w:val="both"/>
        <w:rPr>
          <w:rFonts w:cstheme="minorHAnsi"/>
        </w:rPr>
      </w:pPr>
      <w:r w:rsidRPr="00321FA1">
        <w:rPr>
          <w:rFonts w:cstheme="minorHAnsi"/>
        </w:rPr>
        <w:t xml:space="preserve">2. BGBR </w:t>
      </w:r>
      <w:proofErr w:type="spellStart"/>
      <w:r w:rsidRPr="00321FA1">
        <w:rPr>
          <w:rFonts w:cstheme="minorHAnsi"/>
        </w:rPr>
        <w:t>nin</w:t>
      </w:r>
      <w:proofErr w:type="spellEnd"/>
      <w:r w:rsidRPr="00321FA1">
        <w:rPr>
          <w:rFonts w:cstheme="minorHAnsi"/>
        </w:rPr>
        <w:t xml:space="preserve"> Gelişmeye açık Yanlar tablosunun 2. Maddesinde ‘‘Fakülte birimlerinin paydaş etkileşim toplantılarını düzenleyerek iş birliği ve araştırma fonu desteğinden daha fazla yararlanılmasına yönelik faaliyetlerin uygulanmasına yönelik mekanizmaların olmaması’’ değerlendirmesine istinaden hazırlanan 2021 BİDR raporunda ‘‘Araştırma çalışmaları ve sanatsal faaliyetlerde, yarışmalarda ve uygulama faaliyetlerinde uluslararası iş birlikleri geliştirilmesi ve desteklenmesi, </w:t>
      </w:r>
      <w:proofErr w:type="spellStart"/>
      <w:r w:rsidRPr="00321FA1">
        <w:rPr>
          <w:rFonts w:cstheme="minorHAnsi"/>
        </w:rPr>
        <w:t>Teknokent</w:t>
      </w:r>
      <w:proofErr w:type="spellEnd"/>
      <w:r w:rsidRPr="00321FA1">
        <w:rPr>
          <w:rFonts w:cstheme="minorHAnsi"/>
        </w:rPr>
        <w:t>, Teknoloji Transfer Ofisi (TTO) ve Teknoloji şirketleri faaliyetlerinin geliştirilmesi, üniversite- sanayi işbirlikleri, üniversite kamu ve özel kurum ve kuruluşlarla işbirliklerinin, projelerin gerçekleştirilmesi ve arttırılması, bu projelerin topluma katkı sağlayacak şekilde eyleme geçirilmesi, fakültenin belirlemiş olduğu misyonu ve vizyonu doğrultusunda, temel ilkeleri gözeten Ar-Ge politikalarını oluşturmaktadır’’ ifadesi ile bir çok kurumla iş birliği yapmak istediklerini belirtmelerine rağmen bununla ilgili bir yol haritası belirtmemişlerdir. Yani bu hedeflere ulaşmada kullanılacak bir kontrol mekanizması belirtmemişlerdir. Ayrıca araştırma fonu desteğinden daha fazla nasıl yararlanmaları gerektiği ile ilgili bir veri sunmamışlardır.</w:t>
      </w:r>
    </w:p>
    <w:p w14:paraId="7A2A3D95" w14:textId="4D4DBEE4" w:rsidR="00321FA1" w:rsidRDefault="00321FA1" w:rsidP="00321FA1">
      <w:pPr>
        <w:spacing w:after="0" w:line="276" w:lineRule="auto"/>
        <w:ind w:firstLine="709"/>
        <w:jc w:val="both"/>
        <w:rPr>
          <w:rFonts w:cstheme="minorHAnsi"/>
        </w:rPr>
      </w:pPr>
      <w:r w:rsidRPr="00321FA1">
        <w:rPr>
          <w:rFonts w:cstheme="minorHAnsi"/>
        </w:rPr>
        <w:t xml:space="preserve">3. Yine BGBR </w:t>
      </w:r>
      <w:proofErr w:type="spellStart"/>
      <w:r w:rsidRPr="00321FA1">
        <w:rPr>
          <w:rFonts w:cstheme="minorHAnsi"/>
        </w:rPr>
        <w:t>nin</w:t>
      </w:r>
      <w:proofErr w:type="spellEnd"/>
      <w:r w:rsidRPr="00321FA1">
        <w:rPr>
          <w:rFonts w:cstheme="minorHAnsi"/>
        </w:rPr>
        <w:t xml:space="preserve"> Gelişmeye açık Yanlar tablosunun 3. maddesinde ‘‘Birimin araştırma stratejisi doğrultusunda kendine özgü araştırma alanlarının belirlenmemesi’’ değerlendirmesine istinaden hazırlanan 2021 BİDR raporunda ‘‘Fakültemizde araştırma için kurulmuş bağımsız bir birim bulunmamaktadır. Yerel özelliklerden kaynaklanan veya henüz yeni gelişmekte olan araştırma alanlarından biri veya birkaçı üzerinde yoğunlaştırılmış araştırma stratejilerinin etkili olacağı düşünülmektedir. Seçilen niş alanlardaki araştırma konularının ve araştırma kadrosunun sürekliliğin sağlanmasına yönelik çalışmalar yapılmalıdır. Öncelikli araştırma alanlarının seçimi ve üzerinde çalışmalar sürmektedir. İlk adımda kurumdaki araştırmacıların kendi araştırma alanlarından sonuçlar üretmeleri beklenmektedir. İlerleyen aşamalarda iç ve dış paydaşlarla etkileşimli olarak kurumsal araştırma alanlarının ortaya çıkması beklenebilir’’ ifadesi ile kendi birimlerine özgü alanlarda çalışmalar yapmaları gerektiğini, öncelikli çalışma alanlarının belirlenmesine yönelik çalışmaların sürdüğünü belirtmişlerdir. Değerlendirme Takımı planlanan bu hedeflerin ne ölçüde gerçekleştirildiğini bir yıl sonraki BİDR raporunu inceleyerek takip etmelidir.</w:t>
      </w:r>
    </w:p>
    <w:p w14:paraId="15AA33D5" w14:textId="0683679A" w:rsidR="00321FA1" w:rsidRPr="00321FA1" w:rsidRDefault="00321FA1" w:rsidP="00321FA1">
      <w:pPr>
        <w:spacing w:after="0" w:line="276" w:lineRule="auto"/>
        <w:ind w:firstLine="709"/>
        <w:jc w:val="both"/>
        <w:rPr>
          <w:rFonts w:cstheme="minorHAnsi"/>
        </w:rPr>
      </w:pPr>
      <w:r w:rsidRPr="00321FA1">
        <w:rPr>
          <w:rFonts w:cstheme="minorHAnsi"/>
        </w:rPr>
        <w:lastRenderedPageBreak/>
        <w:t>GSTMF 2020 BGBR de Toplumsal Katkı başlığı altında herhangi bir konu incelenmemiştir. 2021 BİDR de toplumun faydasına olacak sosyal sorumluluk projeleri, seminer, konferans vb. bilimsel faaliyetlerin nasıl izleneceği ve iyileştirileceği ile ilgili somut bir bilgiye yer verilmemiştir.</w:t>
      </w:r>
    </w:p>
    <w:p w14:paraId="5B5EE7EF" w14:textId="77777777" w:rsidR="003A0B97" w:rsidRPr="00F1626B" w:rsidRDefault="003A0B97" w:rsidP="00321FA1">
      <w:pPr>
        <w:spacing w:after="0" w:line="276" w:lineRule="auto"/>
        <w:ind w:firstLine="709"/>
        <w:jc w:val="both"/>
        <w:rPr>
          <w:rFonts w:cstheme="minorHAnsi"/>
          <w:b/>
        </w:rPr>
      </w:pPr>
      <w:r w:rsidRPr="00F1626B">
        <w:rPr>
          <w:rFonts w:cstheme="minorHAnsi"/>
        </w:rPr>
        <w:t xml:space="preserve">Araştırma-Geliştirme başlığı altında kurum tarafından “Birim Geri Bildirim Raporu’nda yer verilen gelişmeye açık </w:t>
      </w:r>
      <w:proofErr w:type="spellStart"/>
      <w:r w:rsidRPr="00F1626B">
        <w:rPr>
          <w:rFonts w:cstheme="minorHAnsi"/>
        </w:rPr>
        <w:t>yanlar”a</w:t>
      </w:r>
      <w:proofErr w:type="spellEnd"/>
      <w:r w:rsidRPr="00F1626B">
        <w:rPr>
          <w:rFonts w:cstheme="minorHAnsi"/>
        </w:rPr>
        <w:t xml:space="preserve"> ilişkin gerçekleştirilen çalışma ve uygulamalara yer verilir.</w:t>
      </w:r>
    </w:p>
    <w:tbl>
      <w:tblPr>
        <w:tblStyle w:val="KlavuzTablo6Renkli-Vurgu6"/>
        <w:tblW w:w="0" w:type="auto"/>
        <w:tblLook w:val="04A0" w:firstRow="1" w:lastRow="0" w:firstColumn="1" w:lastColumn="0" w:noHBand="0" w:noVBand="1"/>
      </w:tblPr>
      <w:tblGrid>
        <w:gridCol w:w="4531"/>
        <w:gridCol w:w="4531"/>
      </w:tblGrid>
      <w:tr w:rsidR="00F1626B" w:rsidRPr="00F1626B" w14:paraId="776E841A" w14:textId="77777777" w:rsidTr="00531E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5DADFA74" w14:textId="77777777" w:rsidR="003A0B97" w:rsidRPr="00531EFE" w:rsidRDefault="003A0B97" w:rsidP="00531EFE">
            <w:pPr>
              <w:spacing w:line="276" w:lineRule="auto"/>
              <w:jc w:val="center"/>
              <w:rPr>
                <w:rFonts w:cstheme="minorHAnsi"/>
                <w:bCs w:val="0"/>
                <w:i/>
                <w:color w:val="auto"/>
              </w:rPr>
            </w:pPr>
            <w:proofErr w:type="spellStart"/>
            <w:r w:rsidRPr="00531EFE">
              <w:rPr>
                <w:rFonts w:cstheme="minorHAnsi"/>
                <w:bCs w:val="0"/>
                <w:color w:val="auto"/>
              </w:rPr>
              <w:t>BGBR’ye</w:t>
            </w:r>
            <w:proofErr w:type="spellEnd"/>
            <w:r w:rsidRPr="00531EFE">
              <w:rPr>
                <w:rFonts w:cstheme="minorHAnsi"/>
                <w:bCs w:val="0"/>
                <w:color w:val="auto"/>
              </w:rPr>
              <w:t xml:space="preserve"> göre </w:t>
            </w:r>
            <w:proofErr w:type="spellStart"/>
            <w:r w:rsidRPr="00531EFE">
              <w:rPr>
                <w:rFonts w:cstheme="minorHAnsi"/>
                <w:bCs w:val="0"/>
                <w:color w:val="auto"/>
              </w:rPr>
              <w:t>iyilieştirmeye</w:t>
            </w:r>
            <w:proofErr w:type="spellEnd"/>
            <w:r w:rsidRPr="00531EFE">
              <w:rPr>
                <w:rFonts w:cstheme="minorHAnsi"/>
                <w:bCs w:val="0"/>
                <w:color w:val="auto"/>
              </w:rPr>
              <w:t xml:space="preserve"> açık yanlar</w:t>
            </w:r>
          </w:p>
        </w:tc>
        <w:tc>
          <w:tcPr>
            <w:tcW w:w="4531" w:type="dxa"/>
            <w:vAlign w:val="center"/>
          </w:tcPr>
          <w:p w14:paraId="766E1026" w14:textId="77777777" w:rsidR="003A0B97" w:rsidRPr="00531EFE" w:rsidRDefault="003A0B97" w:rsidP="00531EFE">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bCs w:val="0"/>
                <w:color w:val="auto"/>
              </w:rPr>
            </w:pPr>
            <w:r w:rsidRPr="00531EFE">
              <w:rPr>
                <w:rFonts w:cstheme="minorHAnsi"/>
                <w:bCs w:val="0"/>
                <w:color w:val="auto"/>
              </w:rPr>
              <w:t>İzleme Değerlendirmesi</w:t>
            </w:r>
          </w:p>
        </w:tc>
      </w:tr>
      <w:tr w:rsidR="00F1626B" w:rsidRPr="00F1626B" w14:paraId="0B2F6515" w14:textId="77777777" w:rsidTr="00531E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65CED4DA" w14:textId="29937BD3" w:rsidR="003A0B97" w:rsidRPr="00531EFE" w:rsidRDefault="00531EFE" w:rsidP="00531EFE">
            <w:pPr>
              <w:pStyle w:val="Default"/>
              <w:numPr>
                <w:ilvl w:val="0"/>
                <w:numId w:val="6"/>
              </w:numPr>
              <w:ind w:left="0" w:firstLine="23"/>
              <w:jc w:val="both"/>
              <w:rPr>
                <w:rFonts w:asciiTheme="minorHAnsi" w:hAnsiTheme="minorHAnsi" w:cstheme="minorHAnsi"/>
                <w:b w:val="0"/>
                <w:i/>
                <w:iCs/>
                <w:sz w:val="22"/>
                <w:szCs w:val="22"/>
              </w:rPr>
            </w:pPr>
            <w:r w:rsidRPr="00531EFE">
              <w:rPr>
                <w:rFonts w:asciiTheme="minorHAnsi" w:hAnsiTheme="minorHAnsi" w:cstheme="minorHAnsi"/>
                <w:sz w:val="22"/>
                <w:szCs w:val="22"/>
              </w:rPr>
              <w:t>Stratejik planda</w:t>
            </w:r>
            <w:r>
              <w:rPr>
                <w:rFonts w:asciiTheme="minorHAnsi" w:hAnsiTheme="minorHAnsi" w:cstheme="minorHAnsi"/>
                <w:sz w:val="22"/>
                <w:szCs w:val="22"/>
              </w:rPr>
              <w:t xml:space="preserve"> </w:t>
            </w:r>
            <w:r w:rsidRPr="00531EFE">
              <w:rPr>
                <w:rFonts w:asciiTheme="minorHAnsi" w:hAnsiTheme="minorHAnsi" w:cstheme="minorHAnsi"/>
                <w:sz w:val="22"/>
                <w:szCs w:val="22"/>
              </w:rPr>
              <w:t xml:space="preserve">(SP) yer alan araştırma stratejisi hedeflerine ulaşma konusunda izleme, değerlendirme ve önlem alma konusunda </w:t>
            </w:r>
            <w:proofErr w:type="spellStart"/>
            <w:r w:rsidRPr="00531EFE">
              <w:rPr>
                <w:rFonts w:asciiTheme="minorHAnsi" w:hAnsiTheme="minorHAnsi" w:cstheme="minorHAnsi"/>
                <w:sz w:val="22"/>
                <w:szCs w:val="22"/>
              </w:rPr>
              <w:t>P</w:t>
            </w:r>
            <w:r w:rsidR="009302FF">
              <w:rPr>
                <w:rFonts w:asciiTheme="minorHAnsi" w:hAnsiTheme="minorHAnsi" w:cstheme="minorHAnsi"/>
                <w:sz w:val="22"/>
                <w:szCs w:val="22"/>
              </w:rPr>
              <w:t>U</w:t>
            </w:r>
            <w:r w:rsidRPr="00531EFE">
              <w:rPr>
                <w:rFonts w:asciiTheme="minorHAnsi" w:hAnsiTheme="minorHAnsi" w:cstheme="minorHAnsi"/>
                <w:sz w:val="22"/>
                <w:szCs w:val="22"/>
              </w:rPr>
              <w:t>K</w:t>
            </w:r>
            <w:r w:rsidR="009302FF">
              <w:rPr>
                <w:rFonts w:asciiTheme="minorHAnsi" w:hAnsiTheme="minorHAnsi" w:cstheme="minorHAnsi"/>
                <w:sz w:val="22"/>
                <w:szCs w:val="22"/>
              </w:rPr>
              <w:t>Ö</w:t>
            </w:r>
            <w:r w:rsidRPr="00531EFE">
              <w:rPr>
                <w:rFonts w:asciiTheme="minorHAnsi" w:hAnsiTheme="minorHAnsi" w:cstheme="minorHAnsi"/>
                <w:sz w:val="22"/>
                <w:szCs w:val="22"/>
              </w:rPr>
              <w:t>’nun</w:t>
            </w:r>
            <w:proofErr w:type="spellEnd"/>
            <w:r w:rsidRPr="00531EFE">
              <w:rPr>
                <w:rFonts w:asciiTheme="minorHAnsi" w:hAnsiTheme="minorHAnsi" w:cstheme="minorHAnsi"/>
                <w:sz w:val="22"/>
                <w:szCs w:val="22"/>
              </w:rPr>
              <w:t xml:space="preserve"> kapatılmaması</w:t>
            </w:r>
          </w:p>
        </w:tc>
        <w:tc>
          <w:tcPr>
            <w:tcW w:w="4531" w:type="dxa"/>
            <w:vAlign w:val="center"/>
          </w:tcPr>
          <w:p w14:paraId="4AC88F54" w14:textId="0D4E768B" w:rsidR="003A0B97" w:rsidRPr="009302FF" w:rsidRDefault="009302FF" w:rsidP="009302FF">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bCs/>
                <w:color w:val="auto"/>
              </w:rPr>
            </w:pPr>
            <w:r>
              <w:rPr>
                <w:rFonts w:cstheme="minorHAnsi"/>
                <w:bCs/>
                <w:color w:val="auto"/>
              </w:rPr>
              <w:t>A</w:t>
            </w:r>
            <w:r w:rsidRPr="009302FF">
              <w:rPr>
                <w:rFonts w:cstheme="minorHAnsi"/>
                <w:bCs/>
                <w:color w:val="auto"/>
              </w:rPr>
              <w:t xml:space="preserve">raştırma performansının nasıl ölçüleceği, değerlendirileceği bilgisi ve planlanan iyileştirme raporda belirtilmesine rağmen değerlendirme sonucunda nasıl bir önlem alınması gerektiği ile ilgili bir verinin olmaması </w:t>
            </w:r>
            <w:proofErr w:type="spellStart"/>
            <w:r w:rsidRPr="009302FF">
              <w:rPr>
                <w:rFonts w:cstheme="minorHAnsi"/>
                <w:bCs/>
                <w:color w:val="auto"/>
              </w:rPr>
              <w:t>PUK</w:t>
            </w:r>
            <w:r>
              <w:rPr>
                <w:rFonts w:cstheme="minorHAnsi"/>
                <w:bCs/>
                <w:color w:val="auto"/>
              </w:rPr>
              <w:t>Ö’</w:t>
            </w:r>
            <w:r w:rsidRPr="009302FF">
              <w:rPr>
                <w:rFonts w:cstheme="minorHAnsi"/>
                <w:bCs/>
                <w:color w:val="auto"/>
              </w:rPr>
              <w:t>n</w:t>
            </w:r>
            <w:r>
              <w:rPr>
                <w:rFonts w:cstheme="minorHAnsi"/>
                <w:bCs/>
                <w:color w:val="auto"/>
              </w:rPr>
              <w:t>u</w:t>
            </w:r>
            <w:r w:rsidRPr="009302FF">
              <w:rPr>
                <w:rFonts w:cstheme="minorHAnsi"/>
                <w:bCs/>
                <w:color w:val="auto"/>
              </w:rPr>
              <w:t>n</w:t>
            </w:r>
            <w:proofErr w:type="spellEnd"/>
            <w:r w:rsidRPr="009302FF">
              <w:rPr>
                <w:rFonts w:cstheme="minorHAnsi"/>
                <w:bCs/>
                <w:color w:val="auto"/>
              </w:rPr>
              <w:t xml:space="preserve"> kapatılmadığını gösterir.</w:t>
            </w:r>
          </w:p>
        </w:tc>
      </w:tr>
      <w:tr w:rsidR="00F1626B" w:rsidRPr="00F1626B" w14:paraId="0795790B" w14:textId="77777777" w:rsidTr="00531EFE">
        <w:tc>
          <w:tcPr>
            <w:cnfStyle w:val="001000000000" w:firstRow="0" w:lastRow="0" w:firstColumn="1" w:lastColumn="0" w:oddVBand="0" w:evenVBand="0" w:oddHBand="0" w:evenHBand="0" w:firstRowFirstColumn="0" w:firstRowLastColumn="0" w:lastRowFirstColumn="0" w:lastRowLastColumn="0"/>
            <w:tcW w:w="4531" w:type="dxa"/>
            <w:vAlign w:val="center"/>
          </w:tcPr>
          <w:p w14:paraId="344588C2" w14:textId="3C0E173E" w:rsidR="003A0B97" w:rsidRPr="00531EFE" w:rsidRDefault="00531EFE" w:rsidP="00531EFE">
            <w:pPr>
              <w:pStyle w:val="Default"/>
              <w:numPr>
                <w:ilvl w:val="0"/>
                <w:numId w:val="6"/>
              </w:numPr>
              <w:ind w:left="0" w:firstLine="23"/>
              <w:jc w:val="both"/>
              <w:rPr>
                <w:rFonts w:asciiTheme="minorHAnsi" w:hAnsiTheme="minorHAnsi" w:cstheme="minorHAnsi"/>
                <w:sz w:val="22"/>
                <w:szCs w:val="22"/>
              </w:rPr>
            </w:pPr>
            <w:r w:rsidRPr="00531EFE">
              <w:rPr>
                <w:rFonts w:asciiTheme="minorHAnsi" w:hAnsiTheme="minorHAnsi" w:cstheme="minorHAnsi"/>
                <w:sz w:val="22"/>
                <w:szCs w:val="22"/>
              </w:rPr>
              <w:t>Fakülte birimlerinin paydaş etkileşim toplantılarını düzenleyerek iş birliği ve araştırma fonu desteğinden daha fazla yararlanılmasına yönelik faaliyetlerin uygulanmasına yönelik mekanizmaların olmaması</w:t>
            </w:r>
          </w:p>
        </w:tc>
        <w:tc>
          <w:tcPr>
            <w:tcW w:w="4531" w:type="dxa"/>
            <w:vAlign w:val="center"/>
          </w:tcPr>
          <w:p w14:paraId="6A9C41CE" w14:textId="7E160209" w:rsidR="003A0B97" w:rsidRPr="009302FF" w:rsidRDefault="009302FF" w:rsidP="009302FF">
            <w:pPr>
              <w:jc w:val="both"/>
              <w:cnfStyle w:val="000000000000" w:firstRow="0" w:lastRow="0" w:firstColumn="0" w:lastColumn="0" w:oddVBand="0" w:evenVBand="0" w:oddHBand="0" w:evenHBand="0" w:firstRowFirstColumn="0" w:firstRowLastColumn="0" w:lastRowFirstColumn="0" w:lastRowLastColumn="0"/>
              <w:rPr>
                <w:color w:val="auto"/>
                <w:szCs w:val="24"/>
              </w:rPr>
            </w:pPr>
            <w:r w:rsidRPr="009302FF">
              <w:rPr>
                <w:color w:val="auto"/>
                <w:szCs w:val="24"/>
              </w:rPr>
              <w:t>Birçok kurumla iş birliği yapmak istediklerini belirtmelerine rağmen bununla ilgili bir yol haritası belirtmemişlerdir. Yani bu hedeflere ulaşmada kullanılacak bir kontrol mekanizması belirtmemişlerdir. Ayrıca araştırma fonu desteğinden daha fazla nasıl yararlanmaları gerektiği ile ilgili bir veri sunmamışlardır.</w:t>
            </w:r>
          </w:p>
        </w:tc>
      </w:tr>
      <w:tr w:rsidR="00F1626B" w:rsidRPr="00F1626B" w14:paraId="7551EFAF" w14:textId="77777777" w:rsidTr="00531E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0C51627B" w14:textId="64CA254B" w:rsidR="003A0B97" w:rsidRPr="00531EFE" w:rsidRDefault="00531EFE" w:rsidP="00531EFE">
            <w:pPr>
              <w:pStyle w:val="Default"/>
              <w:numPr>
                <w:ilvl w:val="0"/>
                <w:numId w:val="6"/>
              </w:numPr>
              <w:ind w:left="0" w:firstLine="23"/>
              <w:jc w:val="both"/>
              <w:rPr>
                <w:rFonts w:asciiTheme="minorHAnsi" w:hAnsiTheme="minorHAnsi" w:cstheme="minorHAnsi"/>
                <w:sz w:val="22"/>
                <w:szCs w:val="22"/>
              </w:rPr>
            </w:pPr>
            <w:r w:rsidRPr="00531EFE">
              <w:rPr>
                <w:rFonts w:asciiTheme="minorHAnsi" w:hAnsiTheme="minorHAnsi" w:cstheme="minorHAnsi"/>
                <w:sz w:val="22"/>
                <w:szCs w:val="22"/>
              </w:rPr>
              <w:t>Biriminin araştırma stratejisi doğrultusunda kendine özgü araştırma alanlarının belirlenme</w:t>
            </w:r>
            <w:r>
              <w:rPr>
                <w:rFonts w:asciiTheme="minorHAnsi" w:hAnsiTheme="minorHAnsi" w:cstheme="minorHAnsi"/>
                <w:sz w:val="22"/>
                <w:szCs w:val="22"/>
              </w:rPr>
              <w:t>si</w:t>
            </w:r>
          </w:p>
        </w:tc>
        <w:tc>
          <w:tcPr>
            <w:tcW w:w="4531" w:type="dxa"/>
            <w:vAlign w:val="center"/>
          </w:tcPr>
          <w:p w14:paraId="293BC71A" w14:textId="7AF31E1C" w:rsidR="003A0B97" w:rsidRPr="009302FF" w:rsidRDefault="009302FF" w:rsidP="009302FF">
            <w:pPr>
              <w:jc w:val="both"/>
              <w:cnfStyle w:val="000000100000" w:firstRow="0" w:lastRow="0" w:firstColumn="0" w:lastColumn="0" w:oddVBand="0" w:evenVBand="0" w:oddHBand="1" w:evenHBand="0" w:firstRowFirstColumn="0" w:firstRowLastColumn="0" w:lastRowFirstColumn="0" w:lastRowLastColumn="0"/>
              <w:rPr>
                <w:b/>
                <w:bCs/>
                <w:color w:val="auto"/>
                <w:szCs w:val="24"/>
                <w:highlight w:val="yellow"/>
              </w:rPr>
            </w:pPr>
            <w:r w:rsidRPr="009302FF">
              <w:rPr>
                <w:color w:val="auto"/>
                <w:szCs w:val="24"/>
              </w:rPr>
              <w:t>Kendi birimlerine özgü alanlarda çalışmalar yapmaları gerektiğini, öncelikli çalışma alanlarının belirlenmesine yönelik çalışmaların sürdüğünü belirtmişlerdir. Değerlendirme Takımı planlanan bu hedeflerin ne ölçüde gerçekleştirildiğini bir yıl sonraki BİDR raporunu inceleyerek takip etmelidir.</w:t>
            </w:r>
          </w:p>
        </w:tc>
      </w:tr>
      <w:tr w:rsidR="00F1626B" w:rsidRPr="00F1626B" w14:paraId="0C2B1EEB" w14:textId="77777777" w:rsidTr="00531EFE">
        <w:tc>
          <w:tcPr>
            <w:cnfStyle w:val="001000000000" w:firstRow="0" w:lastRow="0" w:firstColumn="1" w:lastColumn="0" w:oddVBand="0" w:evenVBand="0" w:oddHBand="0" w:evenHBand="0" w:firstRowFirstColumn="0" w:firstRowLastColumn="0" w:lastRowFirstColumn="0" w:lastRowLastColumn="0"/>
            <w:tcW w:w="4531" w:type="dxa"/>
            <w:vAlign w:val="center"/>
          </w:tcPr>
          <w:p w14:paraId="6364F21A" w14:textId="1068AFBD" w:rsidR="003A0B97" w:rsidRPr="00531EFE" w:rsidRDefault="00531EFE" w:rsidP="00531EFE">
            <w:pPr>
              <w:pStyle w:val="Default"/>
              <w:numPr>
                <w:ilvl w:val="0"/>
                <w:numId w:val="6"/>
              </w:numPr>
              <w:ind w:left="0" w:firstLine="23"/>
              <w:jc w:val="both"/>
              <w:rPr>
                <w:rFonts w:asciiTheme="minorHAnsi" w:hAnsiTheme="minorHAnsi" w:cstheme="minorHAnsi"/>
                <w:sz w:val="22"/>
                <w:szCs w:val="22"/>
              </w:rPr>
            </w:pPr>
            <w:r w:rsidRPr="00531EFE">
              <w:rPr>
                <w:rFonts w:asciiTheme="minorHAnsi" w:hAnsiTheme="minorHAnsi" w:cstheme="minorHAnsi"/>
                <w:sz w:val="22"/>
                <w:szCs w:val="22"/>
              </w:rPr>
              <w:t>Araştırma performansının kendine özgü hedefleri belirlenmemesi ve sonuçları bu çerçevede izlenmesi, değerlendirilmesi ve önlemlerin alınmaması</w:t>
            </w:r>
          </w:p>
        </w:tc>
        <w:tc>
          <w:tcPr>
            <w:tcW w:w="4531" w:type="dxa"/>
            <w:vAlign w:val="center"/>
          </w:tcPr>
          <w:p w14:paraId="32A8AE15" w14:textId="0CDC7179" w:rsidR="003A0B97" w:rsidRPr="009302FF" w:rsidRDefault="00E40404" w:rsidP="00531EFE">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bCs/>
                <w:color w:val="auto"/>
              </w:rPr>
            </w:pPr>
            <w:r>
              <w:rPr>
                <w:rFonts w:cstheme="minorHAnsi"/>
                <w:bCs/>
                <w:color w:val="auto"/>
              </w:rPr>
              <w:t xml:space="preserve">Kendine özgü hedefler belirlenmesi konusunda 2022-2026 yılları arasında takip edilmek üzere belirlenmiş olan stratejik hedefler </w:t>
            </w:r>
            <w:r w:rsidR="00472A76">
              <w:rPr>
                <w:rFonts w:cstheme="minorHAnsi"/>
                <w:bCs/>
                <w:color w:val="auto"/>
              </w:rPr>
              <w:t xml:space="preserve">açıkça belirtilmiştir. Fakat belirlenen hedefler doğrultusunda çok kapsamlı bir perspektif ile </w:t>
            </w:r>
            <w:r>
              <w:rPr>
                <w:rFonts w:cstheme="minorHAnsi"/>
                <w:bCs/>
                <w:color w:val="auto"/>
              </w:rPr>
              <w:t>“</w:t>
            </w:r>
            <w:proofErr w:type="spellStart"/>
            <w:r w:rsidRPr="00E40404">
              <w:rPr>
                <w:rFonts w:cstheme="minorHAnsi"/>
                <w:bCs/>
                <w:color w:val="auto"/>
              </w:rPr>
              <w:t>Teknokent</w:t>
            </w:r>
            <w:proofErr w:type="spellEnd"/>
            <w:r w:rsidRPr="00E40404">
              <w:rPr>
                <w:rFonts w:cstheme="minorHAnsi"/>
                <w:bCs/>
                <w:color w:val="auto"/>
              </w:rPr>
              <w:t>, Teknoloji Transfer Ofisi (TTO) ve Teknoloji şirketleri faaliyetlerinin geliştirilmesi</w:t>
            </w:r>
            <w:r>
              <w:rPr>
                <w:rFonts w:cstheme="minorHAnsi"/>
                <w:bCs/>
                <w:color w:val="auto"/>
              </w:rPr>
              <w:t>”</w:t>
            </w:r>
            <w:r w:rsidR="00472A76">
              <w:rPr>
                <w:rFonts w:cstheme="minorHAnsi"/>
                <w:bCs/>
                <w:color w:val="auto"/>
              </w:rPr>
              <w:t xml:space="preserve"> gibi hedeflerden bahsedilmektedir. Bu konuda daha odaklı biçimde </w:t>
            </w:r>
            <w:proofErr w:type="spellStart"/>
            <w:r w:rsidR="00472A76">
              <w:rPr>
                <w:rFonts w:cstheme="minorHAnsi"/>
                <w:bCs/>
                <w:color w:val="auto"/>
              </w:rPr>
              <w:t>Teknokent</w:t>
            </w:r>
            <w:proofErr w:type="spellEnd"/>
            <w:r w:rsidR="00472A76">
              <w:rPr>
                <w:rFonts w:cstheme="minorHAnsi"/>
                <w:bCs/>
                <w:color w:val="auto"/>
              </w:rPr>
              <w:t xml:space="preserve"> ve </w:t>
            </w:r>
            <w:proofErr w:type="spellStart"/>
            <w:r w:rsidR="00472A76">
              <w:rPr>
                <w:rFonts w:cstheme="minorHAnsi"/>
                <w:bCs/>
                <w:color w:val="auto"/>
              </w:rPr>
              <w:t>TTO’lar</w:t>
            </w:r>
            <w:proofErr w:type="spellEnd"/>
            <w:r w:rsidR="00472A76">
              <w:rPr>
                <w:rFonts w:cstheme="minorHAnsi"/>
                <w:bCs/>
                <w:color w:val="auto"/>
              </w:rPr>
              <w:t xml:space="preserve"> ile hangi konulara odaklanılacağından bahsedilememektedir. Ayrıca meslek odaları, belediyeler ve farklı sektör profesyonellerinden oluşan paydaşların katılımları ile anlaşmalara ilişkin </w:t>
            </w:r>
            <w:r w:rsidR="008B04AD">
              <w:rPr>
                <w:rFonts w:cstheme="minorHAnsi"/>
                <w:bCs/>
                <w:color w:val="auto"/>
              </w:rPr>
              <w:t>atılan somut adımların karar metinleri, toplantı raporlarına ulaşılamamaktadır.</w:t>
            </w:r>
          </w:p>
        </w:tc>
      </w:tr>
    </w:tbl>
    <w:p w14:paraId="15A0CC1E" w14:textId="77777777" w:rsidR="002A3BA1" w:rsidRPr="00F1626B" w:rsidRDefault="002A3BA1" w:rsidP="00F1626B">
      <w:pPr>
        <w:pStyle w:val="ListeParagraf"/>
        <w:spacing w:after="0" w:line="276" w:lineRule="auto"/>
        <w:ind w:left="0"/>
        <w:rPr>
          <w:rFonts w:cstheme="minorHAnsi"/>
          <w:b/>
        </w:rPr>
      </w:pPr>
    </w:p>
    <w:p w14:paraId="65ADB302" w14:textId="77777777" w:rsidR="002A3BA1" w:rsidRPr="00F1626B" w:rsidRDefault="002A3BA1" w:rsidP="00F1626B">
      <w:pPr>
        <w:spacing w:after="0" w:line="276" w:lineRule="auto"/>
        <w:rPr>
          <w:rFonts w:cstheme="minorHAnsi"/>
          <w:b/>
        </w:rPr>
      </w:pPr>
      <w:r w:rsidRPr="00F1626B">
        <w:rPr>
          <w:rFonts w:cstheme="minorHAnsi"/>
          <w:b/>
        </w:rPr>
        <w:br w:type="page"/>
      </w:r>
    </w:p>
    <w:p w14:paraId="649739C4" w14:textId="54C35C03" w:rsidR="004D46E6" w:rsidRPr="00F1626B" w:rsidRDefault="004D46E6" w:rsidP="00F1626B">
      <w:pPr>
        <w:pStyle w:val="ListeParagraf"/>
        <w:spacing w:after="0" w:line="276" w:lineRule="auto"/>
        <w:ind w:left="0"/>
        <w:rPr>
          <w:rFonts w:cstheme="minorHAnsi"/>
          <w:b/>
        </w:rPr>
      </w:pPr>
      <w:r w:rsidRPr="00F1626B">
        <w:rPr>
          <w:rFonts w:cstheme="minorHAnsi"/>
          <w:b/>
        </w:rPr>
        <w:t>A.1.4 Yönetim</w:t>
      </w:r>
    </w:p>
    <w:p w14:paraId="680D26BD" w14:textId="58AB1A1F" w:rsidR="004D46E6" w:rsidRPr="00F1626B" w:rsidRDefault="004D46E6" w:rsidP="00F1626B">
      <w:pPr>
        <w:pStyle w:val="ListeParagraf"/>
        <w:spacing w:after="0" w:line="276" w:lineRule="auto"/>
        <w:ind w:left="0" w:firstLine="709"/>
        <w:jc w:val="both"/>
        <w:rPr>
          <w:rStyle w:val="fontstyle21"/>
          <w:rFonts w:asciiTheme="minorHAnsi" w:hAnsiTheme="minorHAnsi" w:cstheme="minorHAnsi"/>
          <w:color w:val="auto"/>
          <w:sz w:val="22"/>
          <w:szCs w:val="22"/>
        </w:rPr>
      </w:pPr>
      <w:r w:rsidRPr="00F1626B">
        <w:rPr>
          <w:rStyle w:val="fontstyle21"/>
          <w:rFonts w:asciiTheme="minorHAnsi" w:hAnsiTheme="minorHAnsi" w:cstheme="minorHAnsi"/>
          <w:color w:val="auto"/>
          <w:sz w:val="22"/>
          <w:szCs w:val="22"/>
        </w:rPr>
        <w:t>Fakültenin idari yapılanmasını mevcut yasa/yönetmelikler çerçevesinde yürütmektedir. İdari</w:t>
      </w:r>
      <w:r w:rsidRPr="00F1626B">
        <w:rPr>
          <w:rFonts w:cstheme="minorHAnsi"/>
        </w:rPr>
        <w:t xml:space="preserve"> </w:t>
      </w:r>
      <w:r w:rsidRPr="00F1626B">
        <w:rPr>
          <w:rStyle w:val="fontstyle21"/>
          <w:rFonts w:asciiTheme="minorHAnsi" w:hAnsiTheme="minorHAnsi" w:cstheme="minorHAnsi"/>
          <w:color w:val="auto"/>
          <w:sz w:val="22"/>
          <w:szCs w:val="22"/>
        </w:rPr>
        <w:t>yapılanmada Dekan, Dekan Yardımcılıkları, Bölüm Başkanlıkları, Fakülte Sekreterliği ve</w:t>
      </w:r>
      <w:r w:rsidRPr="00F1626B">
        <w:rPr>
          <w:rFonts w:cstheme="minorHAnsi"/>
        </w:rPr>
        <w:t xml:space="preserve"> </w:t>
      </w:r>
      <w:r w:rsidRPr="00F1626B">
        <w:rPr>
          <w:rStyle w:val="fontstyle21"/>
          <w:rFonts w:asciiTheme="minorHAnsi" w:hAnsiTheme="minorHAnsi" w:cstheme="minorHAnsi"/>
          <w:color w:val="auto"/>
          <w:sz w:val="22"/>
          <w:szCs w:val="22"/>
        </w:rPr>
        <w:t>Dekanlığa bağlı komisyonlar oluşturulmuştur. Fakülte bünyesinde eğitim-öğretim ile ilgili</w:t>
      </w:r>
      <w:r w:rsidR="00F1626B" w:rsidRPr="00F1626B">
        <w:rPr>
          <w:rStyle w:val="fontstyle21"/>
          <w:rFonts w:asciiTheme="minorHAnsi" w:hAnsiTheme="minorHAnsi" w:cstheme="minorHAnsi"/>
          <w:color w:val="auto"/>
          <w:sz w:val="22"/>
          <w:szCs w:val="22"/>
        </w:rPr>
        <w:t xml:space="preserve"> </w:t>
      </w:r>
      <w:r w:rsidRPr="00F1626B">
        <w:rPr>
          <w:rStyle w:val="fontstyle21"/>
          <w:rFonts w:asciiTheme="minorHAnsi" w:hAnsiTheme="minorHAnsi" w:cstheme="minorHAnsi"/>
          <w:color w:val="auto"/>
          <w:sz w:val="22"/>
          <w:szCs w:val="22"/>
        </w:rPr>
        <w:t>görevlendirilmeler ile destek faaliyetleri dekanlık tarafından yürütülmektedir. Öğrencilerin eğitim-öğretim süresince iş ve işlemlerde kullanacakları formların oluşturulmuş olması ve duyurulması</w:t>
      </w:r>
      <w:r w:rsidRPr="00F1626B">
        <w:rPr>
          <w:rFonts w:cstheme="minorHAnsi"/>
        </w:rPr>
        <w:t xml:space="preserve"> </w:t>
      </w:r>
      <w:r w:rsidRPr="00F1626B">
        <w:rPr>
          <w:rStyle w:val="fontstyle21"/>
          <w:rFonts w:asciiTheme="minorHAnsi" w:hAnsiTheme="minorHAnsi" w:cstheme="minorHAnsi"/>
          <w:color w:val="auto"/>
          <w:sz w:val="22"/>
          <w:szCs w:val="22"/>
        </w:rPr>
        <w:t>güçlü yön olarak değerlendirilmektedir. Ancak, bazı görevlerin tanımlı süreçleri bulunmakla</w:t>
      </w:r>
      <w:r w:rsidRPr="00F1626B">
        <w:rPr>
          <w:rFonts w:cstheme="minorHAnsi"/>
        </w:rPr>
        <w:t xml:space="preserve"> </w:t>
      </w:r>
      <w:r w:rsidRPr="00F1626B">
        <w:rPr>
          <w:rStyle w:val="fontstyle21"/>
          <w:rFonts w:asciiTheme="minorHAnsi" w:hAnsiTheme="minorHAnsi" w:cstheme="minorHAnsi"/>
          <w:color w:val="auto"/>
          <w:sz w:val="22"/>
          <w:szCs w:val="22"/>
        </w:rPr>
        <w:t>birlikte özellikle idari görevlerin yürütülmesinde görev tanımları, iş akışları gibi prosedürler ile</w:t>
      </w:r>
      <w:r w:rsidRPr="00F1626B">
        <w:rPr>
          <w:rFonts w:cstheme="minorHAnsi"/>
        </w:rPr>
        <w:t xml:space="preserve"> </w:t>
      </w:r>
      <w:r w:rsidRPr="00F1626B">
        <w:rPr>
          <w:rStyle w:val="fontstyle21"/>
          <w:rFonts w:asciiTheme="minorHAnsi" w:hAnsiTheme="minorHAnsi" w:cstheme="minorHAnsi"/>
          <w:color w:val="auto"/>
          <w:sz w:val="22"/>
          <w:szCs w:val="22"/>
        </w:rPr>
        <w:t>ilgili herhangi bir bulguya rastlanılmamıştır.</w:t>
      </w:r>
    </w:p>
    <w:p w14:paraId="5B941399" w14:textId="4462B7C8" w:rsidR="004D46E6" w:rsidRPr="00F1626B" w:rsidRDefault="004D46E6" w:rsidP="00F1626B">
      <w:pPr>
        <w:pStyle w:val="ListeParagraf"/>
        <w:spacing w:after="0" w:line="276" w:lineRule="auto"/>
        <w:ind w:left="0" w:firstLine="709"/>
        <w:jc w:val="both"/>
        <w:rPr>
          <w:rStyle w:val="fontstyle21"/>
          <w:rFonts w:asciiTheme="minorHAnsi" w:hAnsiTheme="minorHAnsi" w:cstheme="minorHAnsi"/>
          <w:color w:val="auto"/>
          <w:sz w:val="22"/>
          <w:szCs w:val="22"/>
        </w:rPr>
      </w:pPr>
      <w:r w:rsidRPr="00F1626B">
        <w:rPr>
          <w:rStyle w:val="fontstyle21"/>
          <w:rFonts w:asciiTheme="minorHAnsi" w:hAnsiTheme="minorHAnsi" w:cstheme="minorHAnsi"/>
          <w:color w:val="auto"/>
          <w:sz w:val="22"/>
          <w:szCs w:val="22"/>
        </w:rPr>
        <w:t>Yönetimin etkinliği ve hesap verilebilirliği kapsamında; İç/dış paydaşların bilgilendirilmesi, geri</w:t>
      </w:r>
      <w:r w:rsidRPr="00F1626B">
        <w:rPr>
          <w:rFonts w:cstheme="minorHAnsi"/>
        </w:rPr>
        <w:t xml:space="preserve"> </w:t>
      </w:r>
      <w:r w:rsidRPr="00F1626B">
        <w:rPr>
          <w:rStyle w:val="fontstyle21"/>
          <w:rFonts w:asciiTheme="minorHAnsi" w:hAnsiTheme="minorHAnsi" w:cstheme="minorHAnsi"/>
          <w:color w:val="auto"/>
          <w:sz w:val="22"/>
          <w:szCs w:val="22"/>
        </w:rPr>
        <w:t>bildirimlerin alınması amacıyla bazı mekanizmaların varlığı güçlü yön olarak</w:t>
      </w:r>
      <w:r w:rsidRPr="00F1626B">
        <w:rPr>
          <w:rFonts w:cstheme="minorHAnsi"/>
        </w:rPr>
        <w:t xml:space="preserve"> </w:t>
      </w:r>
      <w:r w:rsidRPr="00F1626B">
        <w:rPr>
          <w:rStyle w:val="fontstyle21"/>
          <w:rFonts w:asciiTheme="minorHAnsi" w:hAnsiTheme="minorHAnsi" w:cstheme="minorHAnsi"/>
          <w:color w:val="auto"/>
          <w:sz w:val="22"/>
          <w:szCs w:val="22"/>
        </w:rPr>
        <w:t xml:space="preserve">değerlendirilmektedir. Öğrencilerin geribildirimlerinin alınması için “Dilek, </w:t>
      </w:r>
      <w:proofErr w:type="gramStart"/>
      <w:r w:rsidRPr="00F1626B">
        <w:rPr>
          <w:rStyle w:val="fontstyle21"/>
          <w:rFonts w:asciiTheme="minorHAnsi" w:hAnsiTheme="minorHAnsi" w:cstheme="minorHAnsi"/>
          <w:color w:val="auto"/>
          <w:sz w:val="22"/>
          <w:szCs w:val="22"/>
        </w:rPr>
        <w:t>Şikayet</w:t>
      </w:r>
      <w:proofErr w:type="gramEnd"/>
      <w:r w:rsidRPr="00F1626B">
        <w:rPr>
          <w:rStyle w:val="fontstyle21"/>
          <w:rFonts w:asciiTheme="minorHAnsi" w:hAnsiTheme="minorHAnsi" w:cstheme="minorHAnsi"/>
          <w:color w:val="auto"/>
          <w:sz w:val="22"/>
          <w:szCs w:val="22"/>
        </w:rPr>
        <w:t xml:space="preserve"> ve Öneri”</w:t>
      </w:r>
      <w:r w:rsidRPr="00F1626B">
        <w:rPr>
          <w:rFonts w:cstheme="minorHAnsi"/>
        </w:rPr>
        <w:t xml:space="preserve"> </w:t>
      </w:r>
      <w:r w:rsidRPr="00F1626B">
        <w:rPr>
          <w:rStyle w:val="fontstyle21"/>
          <w:rFonts w:asciiTheme="minorHAnsi" w:hAnsiTheme="minorHAnsi" w:cstheme="minorHAnsi"/>
          <w:color w:val="auto"/>
          <w:sz w:val="22"/>
          <w:szCs w:val="22"/>
        </w:rPr>
        <w:t>kutularının olduğu ve bu şekilde alınan geribildirimlerin Fakülte bünyesinde işlem yapıldığı ve</w:t>
      </w:r>
      <w:r w:rsidRPr="00F1626B">
        <w:rPr>
          <w:rFonts w:cstheme="minorHAnsi"/>
        </w:rPr>
        <w:t xml:space="preserve"> </w:t>
      </w:r>
      <w:r w:rsidRPr="00F1626B">
        <w:rPr>
          <w:rStyle w:val="fontstyle21"/>
          <w:rFonts w:asciiTheme="minorHAnsi" w:hAnsiTheme="minorHAnsi" w:cstheme="minorHAnsi"/>
          <w:color w:val="auto"/>
          <w:sz w:val="22"/>
          <w:szCs w:val="22"/>
        </w:rPr>
        <w:t>bazılarının ise Rektörlüğe iletildiği belirtilmektedir. Ancak, geribildirimler konusunda yapılan</w:t>
      </w:r>
      <w:r w:rsidRPr="00F1626B">
        <w:rPr>
          <w:rFonts w:cstheme="minorHAnsi"/>
        </w:rPr>
        <w:t xml:space="preserve"> </w:t>
      </w:r>
      <w:r w:rsidRPr="00F1626B">
        <w:rPr>
          <w:rStyle w:val="fontstyle21"/>
          <w:rFonts w:asciiTheme="minorHAnsi" w:hAnsiTheme="minorHAnsi" w:cstheme="minorHAnsi"/>
          <w:color w:val="auto"/>
          <w:sz w:val="22"/>
          <w:szCs w:val="22"/>
        </w:rPr>
        <w:t>iyileştirmeler konusunda herhangi bir bulguya rastlanılmamıştır. Diğer taraftan öğrenci iş ve</w:t>
      </w:r>
      <w:r w:rsidRPr="00F1626B">
        <w:rPr>
          <w:rFonts w:cstheme="minorHAnsi"/>
        </w:rPr>
        <w:t xml:space="preserve"> </w:t>
      </w:r>
      <w:r w:rsidRPr="00F1626B">
        <w:rPr>
          <w:rStyle w:val="fontstyle21"/>
          <w:rFonts w:asciiTheme="minorHAnsi" w:hAnsiTheme="minorHAnsi" w:cstheme="minorHAnsi"/>
          <w:color w:val="auto"/>
          <w:sz w:val="22"/>
          <w:szCs w:val="22"/>
        </w:rPr>
        <w:t>işlemlerine yönelik formlar, dilekçe başvuruları benzeri belgelerin web sitesinde yayınlanması</w:t>
      </w:r>
      <w:r w:rsidRPr="00F1626B">
        <w:rPr>
          <w:rFonts w:cstheme="minorHAnsi"/>
        </w:rPr>
        <w:t xml:space="preserve"> </w:t>
      </w:r>
      <w:r w:rsidRPr="00F1626B">
        <w:rPr>
          <w:rStyle w:val="fontstyle21"/>
          <w:rFonts w:asciiTheme="minorHAnsi" w:hAnsiTheme="minorHAnsi" w:cstheme="minorHAnsi"/>
          <w:color w:val="auto"/>
          <w:sz w:val="22"/>
          <w:szCs w:val="22"/>
        </w:rPr>
        <w:t>güçlü yön olarak değerlendirilmektedir.</w:t>
      </w:r>
    </w:p>
    <w:p w14:paraId="5AC0C6D9" w14:textId="0C12CF0A" w:rsidR="004D46E6" w:rsidRPr="00F1626B" w:rsidRDefault="004D46E6" w:rsidP="00F1626B">
      <w:pPr>
        <w:pStyle w:val="ListeParagraf"/>
        <w:spacing w:after="0" w:line="276" w:lineRule="auto"/>
        <w:ind w:left="0" w:firstLine="709"/>
        <w:jc w:val="both"/>
        <w:rPr>
          <w:rStyle w:val="fontstyle21"/>
          <w:rFonts w:asciiTheme="minorHAnsi" w:hAnsiTheme="minorHAnsi" w:cstheme="minorHAnsi"/>
          <w:color w:val="auto"/>
          <w:sz w:val="22"/>
          <w:szCs w:val="22"/>
        </w:rPr>
      </w:pPr>
      <w:r w:rsidRPr="00F1626B">
        <w:rPr>
          <w:rStyle w:val="fontstyle21"/>
          <w:rFonts w:asciiTheme="minorHAnsi" w:hAnsiTheme="minorHAnsi" w:cstheme="minorHAnsi"/>
          <w:color w:val="auto"/>
          <w:sz w:val="22"/>
          <w:szCs w:val="22"/>
        </w:rPr>
        <w:t>Fakülte bünyesinde yapılan faaliyetlerin kamuoyuna duyurulması kapsamında web sitesinin</w:t>
      </w:r>
      <w:r w:rsidR="00F1626B" w:rsidRPr="00F1626B">
        <w:rPr>
          <w:rStyle w:val="fontstyle21"/>
          <w:rFonts w:asciiTheme="minorHAnsi" w:hAnsiTheme="minorHAnsi" w:cstheme="minorHAnsi"/>
          <w:color w:val="auto"/>
          <w:sz w:val="22"/>
          <w:szCs w:val="22"/>
        </w:rPr>
        <w:t xml:space="preserve"> </w:t>
      </w:r>
      <w:r w:rsidRPr="00F1626B">
        <w:rPr>
          <w:rStyle w:val="fontstyle21"/>
          <w:rFonts w:asciiTheme="minorHAnsi" w:hAnsiTheme="minorHAnsi" w:cstheme="minorHAnsi"/>
          <w:color w:val="auto"/>
          <w:sz w:val="22"/>
          <w:szCs w:val="22"/>
        </w:rPr>
        <w:t>bulunduğu, birçok duyurunun bu yollan yapıldığı tespit edilmiştir. Web sitesinde bölümlerin ders</w:t>
      </w:r>
      <w:r w:rsidRPr="00F1626B">
        <w:rPr>
          <w:rFonts w:cstheme="minorHAnsi"/>
        </w:rPr>
        <w:t xml:space="preserve"> </w:t>
      </w:r>
      <w:r w:rsidRPr="00F1626B">
        <w:rPr>
          <w:rStyle w:val="fontstyle21"/>
          <w:rFonts w:asciiTheme="minorHAnsi" w:hAnsiTheme="minorHAnsi" w:cstheme="minorHAnsi"/>
          <w:color w:val="auto"/>
          <w:sz w:val="22"/>
          <w:szCs w:val="22"/>
        </w:rPr>
        <w:t>programları, staj ile ilgili mevzuat ve formların yer aldığı görülmektedir. Ancak, fakülte İç Mimarlık bölümünde görev yapmakta olan bazı öğretim elemanı bilgilerinin güncel olmadığı tespit edilmiştir.</w:t>
      </w:r>
    </w:p>
    <w:p w14:paraId="2A6725D0" w14:textId="77777777" w:rsidR="004D46E6" w:rsidRPr="00F1626B" w:rsidRDefault="004D46E6" w:rsidP="00F1626B">
      <w:pPr>
        <w:spacing w:after="0" w:line="276" w:lineRule="auto"/>
        <w:ind w:firstLine="709"/>
        <w:jc w:val="both"/>
        <w:rPr>
          <w:rFonts w:cstheme="minorHAnsi"/>
        </w:rPr>
      </w:pPr>
      <w:r w:rsidRPr="00F1626B">
        <w:rPr>
          <w:rFonts w:cstheme="minorHAnsi"/>
        </w:rPr>
        <w:t xml:space="preserve">Birimin, yönetişim modeli ve organizasyon şeması, Kurumun yönetim ve idari alanlarla ilgili politikasını ve stratejik amaçlarını uyguladığına dair uygulamalar/kanıtlar ile Yönetim ve </w:t>
      </w:r>
      <w:proofErr w:type="spellStart"/>
      <w:r w:rsidRPr="00F1626B">
        <w:rPr>
          <w:rFonts w:cstheme="minorHAnsi"/>
        </w:rPr>
        <w:t>organizasyonel</w:t>
      </w:r>
      <w:proofErr w:type="spellEnd"/>
      <w:r w:rsidRPr="00F1626B">
        <w:rPr>
          <w:rFonts w:cstheme="minorHAnsi"/>
        </w:rPr>
        <w:t xml:space="preserve"> yapılanma uygulamalarına ilişkin izleme ve iyileştirme yapılmaktadır. Ayrıca birimin ihtiyaçları doğrultusunda geliştirdiği özgün yaklaşım ve uygulamalarına ilişkin kanıtlar verilmektedir.</w:t>
      </w:r>
    </w:p>
    <w:p w14:paraId="52226B29" w14:textId="77777777" w:rsidR="004D46E6" w:rsidRPr="00F1626B" w:rsidRDefault="004D46E6" w:rsidP="00F1626B">
      <w:pPr>
        <w:spacing w:after="0" w:line="276" w:lineRule="auto"/>
        <w:ind w:firstLine="709"/>
        <w:jc w:val="both"/>
        <w:rPr>
          <w:rFonts w:cstheme="minorHAnsi"/>
          <w:b/>
        </w:rPr>
      </w:pPr>
      <w:r w:rsidRPr="00F1626B">
        <w:rPr>
          <w:rFonts w:cstheme="minorHAnsi"/>
        </w:rPr>
        <w:t xml:space="preserve">Kamuoyunu bilgilendirme ilkesel olarak </w:t>
      </w:r>
      <w:proofErr w:type="spellStart"/>
      <w:r w:rsidRPr="00F1626B">
        <w:rPr>
          <w:rFonts w:cstheme="minorHAnsi"/>
        </w:rPr>
        <w:t>benimsenmiştir</w:t>
      </w:r>
      <w:proofErr w:type="spellEnd"/>
      <w:r w:rsidRPr="00F1626B">
        <w:rPr>
          <w:rFonts w:cstheme="minorHAnsi"/>
        </w:rPr>
        <w:t xml:space="preserve">, hangi kanalların nasıl </w:t>
      </w:r>
      <w:proofErr w:type="spellStart"/>
      <w:r w:rsidRPr="00F1626B">
        <w:rPr>
          <w:rFonts w:cstheme="minorHAnsi"/>
        </w:rPr>
        <w:t>kullanılacağı</w:t>
      </w:r>
      <w:proofErr w:type="spellEnd"/>
      <w:r w:rsidRPr="00F1626B">
        <w:rPr>
          <w:rFonts w:cstheme="minorHAnsi"/>
        </w:rPr>
        <w:t xml:space="preserve"> </w:t>
      </w:r>
      <w:proofErr w:type="spellStart"/>
      <w:r w:rsidRPr="00F1626B">
        <w:rPr>
          <w:rFonts w:cstheme="minorHAnsi"/>
        </w:rPr>
        <w:t>tasarlanmıştır</w:t>
      </w:r>
      <w:proofErr w:type="spellEnd"/>
      <w:r w:rsidRPr="00F1626B">
        <w:rPr>
          <w:rFonts w:cstheme="minorHAnsi"/>
        </w:rPr>
        <w:t xml:space="preserve">, </w:t>
      </w:r>
      <w:proofErr w:type="spellStart"/>
      <w:r w:rsidRPr="00F1626B">
        <w:rPr>
          <w:rFonts w:cstheme="minorHAnsi"/>
        </w:rPr>
        <w:t>erişilebilir</w:t>
      </w:r>
      <w:proofErr w:type="spellEnd"/>
      <w:r w:rsidRPr="00F1626B">
        <w:rPr>
          <w:rFonts w:cstheme="minorHAnsi"/>
        </w:rPr>
        <w:t xml:space="preserve"> olarak ilan </w:t>
      </w:r>
      <w:proofErr w:type="spellStart"/>
      <w:r w:rsidRPr="00F1626B">
        <w:rPr>
          <w:rFonts w:cstheme="minorHAnsi"/>
        </w:rPr>
        <w:t>edilmiştir</w:t>
      </w:r>
      <w:proofErr w:type="spellEnd"/>
      <w:r w:rsidRPr="00F1626B">
        <w:rPr>
          <w:rFonts w:cstheme="minorHAnsi"/>
        </w:rPr>
        <w:t xml:space="preserve"> ve </w:t>
      </w:r>
      <w:proofErr w:type="spellStart"/>
      <w:r w:rsidRPr="00F1626B">
        <w:rPr>
          <w:rFonts w:cstheme="minorHAnsi"/>
        </w:rPr>
        <w:t>tüm</w:t>
      </w:r>
      <w:proofErr w:type="spellEnd"/>
      <w:r w:rsidRPr="00F1626B">
        <w:rPr>
          <w:rFonts w:cstheme="minorHAnsi"/>
        </w:rPr>
        <w:t xml:space="preserve"> bilgilendirme adımları sistematik olarak atılmaktadır. Kurum web sayfası </w:t>
      </w:r>
      <w:proofErr w:type="spellStart"/>
      <w:r w:rsidRPr="00F1626B">
        <w:rPr>
          <w:rFonts w:cstheme="minorHAnsi"/>
        </w:rPr>
        <w:t>doğru</w:t>
      </w:r>
      <w:proofErr w:type="spellEnd"/>
      <w:r w:rsidRPr="00F1626B">
        <w:rPr>
          <w:rFonts w:cstheme="minorHAnsi"/>
        </w:rPr>
        <w:t xml:space="preserve">, </w:t>
      </w:r>
      <w:proofErr w:type="spellStart"/>
      <w:r w:rsidRPr="00F1626B">
        <w:rPr>
          <w:rFonts w:cstheme="minorHAnsi"/>
        </w:rPr>
        <w:t>güncel</w:t>
      </w:r>
      <w:proofErr w:type="spellEnd"/>
      <w:r w:rsidRPr="00F1626B">
        <w:rPr>
          <w:rFonts w:cstheme="minorHAnsi"/>
        </w:rPr>
        <w:t xml:space="preserve">, ilgili ve kolayca </w:t>
      </w:r>
      <w:proofErr w:type="spellStart"/>
      <w:r w:rsidRPr="00F1626B">
        <w:rPr>
          <w:rFonts w:cstheme="minorHAnsi"/>
        </w:rPr>
        <w:t>erişilebilir</w:t>
      </w:r>
      <w:proofErr w:type="spellEnd"/>
      <w:r w:rsidRPr="00F1626B">
        <w:rPr>
          <w:rFonts w:cstheme="minorHAnsi"/>
        </w:rPr>
        <w:t xml:space="preserve"> bilgiyi vermektedir; bunun </w:t>
      </w:r>
      <w:proofErr w:type="spellStart"/>
      <w:r w:rsidRPr="00F1626B">
        <w:rPr>
          <w:rFonts w:cstheme="minorHAnsi"/>
        </w:rPr>
        <w:t>sağlanması</w:t>
      </w:r>
      <w:proofErr w:type="spellEnd"/>
      <w:r w:rsidRPr="00F1626B">
        <w:rPr>
          <w:rFonts w:cstheme="minorHAnsi"/>
        </w:rPr>
        <w:t xml:space="preserve"> </w:t>
      </w:r>
      <w:proofErr w:type="spellStart"/>
      <w:r w:rsidRPr="00F1626B">
        <w:rPr>
          <w:rFonts w:cstheme="minorHAnsi"/>
        </w:rPr>
        <w:t>için</w:t>
      </w:r>
      <w:proofErr w:type="spellEnd"/>
      <w:r w:rsidRPr="00F1626B">
        <w:rPr>
          <w:rFonts w:cstheme="minorHAnsi"/>
        </w:rPr>
        <w:t xml:space="preserve"> gerekli mekanizma mevcuttur.</w:t>
      </w:r>
    </w:p>
    <w:p w14:paraId="0D75F27E" w14:textId="77777777" w:rsidR="004D46E6" w:rsidRPr="00F1626B" w:rsidRDefault="004D46E6" w:rsidP="00F1626B">
      <w:pPr>
        <w:spacing w:after="0" w:line="276" w:lineRule="auto"/>
        <w:ind w:firstLine="709"/>
        <w:jc w:val="both"/>
        <w:rPr>
          <w:rFonts w:cstheme="minorHAnsi"/>
          <w:b/>
        </w:rPr>
      </w:pPr>
      <w:r w:rsidRPr="00F1626B">
        <w:rPr>
          <w:rFonts w:cstheme="minorHAnsi"/>
        </w:rPr>
        <w:t xml:space="preserve">Yönetim başlığı altında kurum tarafından “Birim Geri Bildirim Raporu’nda yer verilen gelişmeye açık </w:t>
      </w:r>
      <w:proofErr w:type="spellStart"/>
      <w:r w:rsidRPr="00F1626B">
        <w:rPr>
          <w:rFonts w:cstheme="minorHAnsi"/>
        </w:rPr>
        <w:t>yanlar”a</w:t>
      </w:r>
      <w:proofErr w:type="spellEnd"/>
      <w:r w:rsidRPr="00F1626B">
        <w:rPr>
          <w:rFonts w:cstheme="minorHAnsi"/>
        </w:rPr>
        <w:t xml:space="preserve"> ilişkin gerçekleştirilen çalışma ve uygulamalara yer verilir.</w:t>
      </w:r>
    </w:p>
    <w:p w14:paraId="00E48326" w14:textId="77777777" w:rsidR="004D46E6" w:rsidRPr="00F1626B" w:rsidRDefault="004D46E6" w:rsidP="00F1626B">
      <w:pPr>
        <w:spacing w:after="0" w:line="276" w:lineRule="auto"/>
        <w:jc w:val="both"/>
        <w:rPr>
          <w:rFonts w:cstheme="minorHAnsi"/>
          <w:b/>
        </w:rPr>
      </w:pPr>
    </w:p>
    <w:tbl>
      <w:tblPr>
        <w:tblStyle w:val="KlavuzTablo2-Vurgu6"/>
        <w:tblW w:w="0" w:type="auto"/>
        <w:tblLook w:val="04A0" w:firstRow="1" w:lastRow="0" w:firstColumn="1" w:lastColumn="0" w:noHBand="0" w:noVBand="1"/>
      </w:tblPr>
      <w:tblGrid>
        <w:gridCol w:w="4478"/>
        <w:gridCol w:w="4594"/>
      </w:tblGrid>
      <w:tr w:rsidR="00F1626B" w:rsidRPr="00F1626B" w14:paraId="6B4E0DDB" w14:textId="77777777" w:rsidTr="009769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59880532" w14:textId="77777777" w:rsidR="004D46E6" w:rsidRPr="00F1626B" w:rsidRDefault="004D46E6" w:rsidP="00F1626B">
            <w:pPr>
              <w:spacing w:line="276" w:lineRule="auto"/>
              <w:jc w:val="center"/>
              <w:rPr>
                <w:rFonts w:cstheme="minorHAnsi"/>
                <w:bCs w:val="0"/>
                <w:i/>
              </w:rPr>
            </w:pPr>
            <w:proofErr w:type="spellStart"/>
            <w:r w:rsidRPr="00F1626B">
              <w:rPr>
                <w:rFonts w:cstheme="minorHAnsi"/>
                <w:bCs w:val="0"/>
              </w:rPr>
              <w:t>BGBR’ye</w:t>
            </w:r>
            <w:proofErr w:type="spellEnd"/>
            <w:r w:rsidRPr="00F1626B">
              <w:rPr>
                <w:rFonts w:cstheme="minorHAnsi"/>
                <w:bCs w:val="0"/>
              </w:rPr>
              <w:t xml:space="preserve"> göre </w:t>
            </w:r>
            <w:proofErr w:type="spellStart"/>
            <w:r w:rsidRPr="00F1626B">
              <w:rPr>
                <w:rFonts w:cstheme="minorHAnsi"/>
                <w:bCs w:val="0"/>
              </w:rPr>
              <w:t>iyilieştirmeye</w:t>
            </w:r>
            <w:proofErr w:type="spellEnd"/>
            <w:r w:rsidRPr="00F1626B">
              <w:rPr>
                <w:rFonts w:cstheme="minorHAnsi"/>
                <w:bCs w:val="0"/>
              </w:rPr>
              <w:t xml:space="preserve"> açık yanlar</w:t>
            </w:r>
          </w:p>
        </w:tc>
        <w:tc>
          <w:tcPr>
            <w:tcW w:w="4649" w:type="dxa"/>
            <w:vAlign w:val="center"/>
          </w:tcPr>
          <w:p w14:paraId="523C3870" w14:textId="77777777" w:rsidR="004D46E6" w:rsidRPr="00F1626B" w:rsidRDefault="004D46E6" w:rsidP="00F1626B">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bCs w:val="0"/>
              </w:rPr>
            </w:pPr>
            <w:r w:rsidRPr="00F1626B">
              <w:rPr>
                <w:rFonts w:cstheme="minorHAnsi"/>
                <w:bCs w:val="0"/>
              </w:rPr>
              <w:t>İzleme Değerlendirmesi</w:t>
            </w:r>
          </w:p>
        </w:tc>
      </w:tr>
      <w:tr w:rsidR="00F1626B" w:rsidRPr="00F1626B" w14:paraId="7E9A6C8C" w14:textId="77777777" w:rsidTr="00D968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2C767D5A" w14:textId="741C2E90" w:rsidR="004D46E6" w:rsidRPr="00F1626B" w:rsidRDefault="004D46E6" w:rsidP="00F1626B">
            <w:pPr>
              <w:pStyle w:val="ListeParagraf"/>
              <w:numPr>
                <w:ilvl w:val="0"/>
                <w:numId w:val="5"/>
              </w:numPr>
              <w:spacing w:line="276" w:lineRule="auto"/>
              <w:ind w:left="0" w:firstLine="0"/>
              <w:jc w:val="both"/>
              <w:rPr>
                <w:rFonts w:cstheme="minorHAnsi"/>
                <w:b w:val="0"/>
                <w:i/>
              </w:rPr>
            </w:pPr>
            <w:r w:rsidRPr="00F1626B">
              <w:rPr>
                <w:rFonts w:eastAsia="Calibri" w:cstheme="minorHAnsi"/>
                <w:noProof/>
                <w:lang w:eastAsia="tr-TR"/>
              </w:rPr>
              <w:t>Fakülte bünyesinde yürütülen bazı görevlerin tanımlı süreçleri bulunmakla birlikte özellikle idari görevlerin yürütülmesinde görev tanımları, iş akışları gibi prosedürlerin bulunmaması</w:t>
            </w:r>
          </w:p>
        </w:tc>
        <w:tc>
          <w:tcPr>
            <w:tcW w:w="4649" w:type="dxa"/>
            <w:vAlign w:val="center"/>
          </w:tcPr>
          <w:p w14:paraId="58B3A3A9" w14:textId="77777777" w:rsidR="004D46E6" w:rsidRPr="00F1626B" w:rsidRDefault="004D46E6" w:rsidP="00F1626B">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F1626B">
              <w:rPr>
                <w:rFonts w:cstheme="minorHAnsi"/>
              </w:rPr>
              <w:t xml:space="preserve">Fakülte bünyesinde yürütülen bazı görevlerin tanımlı süreçleri bulunduğu ve birlikte özellikle idari görevlerin yürütülmesinde görev tanımları </w:t>
            </w:r>
            <w:proofErr w:type="spellStart"/>
            <w:r w:rsidRPr="00F1626B">
              <w:rPr>
                <w:rFonts w:cstheme="minorHAnsi"/>
              </w:rPr>
              <w:t>BİDR’da</w:t>
            </w:r>
            <w:proofErr w:type="spellEnd"/>
            <w:r w:rsidRPr="00F1626B">
              <w:rPr>
                <w:rFonts w:cstheme="minorHAnsi"/>
              </w:rPr>
              <w:t xml:space="preserve"> yönetim sistemi kısmında ifade edildiği yine raporun KGS bölümünde idari işlerin yürütülmesi konusunda fakülte genelindeki görev dağılımı olduğu belirtilmiştir. Ancak bir önceki rapordaki gibi </w:t>
            </w:r>
            <w:r w:rsidRPr="00F1626B">
              <w:rPr>
                <w:rFonts w:eastAsia="Calibri" w:cstheme="minorHAnsi"/>
                <w:noProof/>
                <w:lang w:eastAsia="tr-TR"/>
              </w:rPr>
              <w:t>tanımlı süreçleri bulunmakla birlikte özellikle idari görevlerin yürütülmesinde görev tanımları, iş akışları gibi prosedürlerine raslanmamıştır.</w:t>
            </w:r>
          </w:p>
        </w:tc>
      </w:tr>
      <w:tr w:rsidR="00F1626B" w:rsidRPr="00F1626B" w14:paraId="490DB726" w14:textId="77777777" w:rsidTr="00D96870">
        <w:tc>
          <w:tcPr>
            <w:cnfStyle w:val="001000000000" w:firstRow="0" w:lastRow="0" w:firstColumn="1" w:lastColumn="0" w:oddVBand="0" w:evenVBand="0" w:oddHBand="0" w:evenHBand="0" w:firstRowFirstColumn="0" w:firstRowLastColumn="0" w:lastRowFirstColumn="0" w:lastRowLastColumn="0"/>
            <w:tcW w:w="4531" w:type="dxa"/>
            <w:vAlign w:val="center"/>
          </w:tcPr>
          <w:p w14:paraId="0543351E" w14:textId="7992A7B7" w:rsidR="004D46E6" w:rsidRPr="00F1626B" w:rsidRDefault="004D46E6" w:rsidP="00F1626B">
            <w:pPr>
              <w:pStyle w:val="ListeParagraf"/>
              <w:numPr>
                <w:ilvl w:val="0"/>
                <w:numId w:val="5"/>
              </w:numPr>
              <w:spacing w:line="276" w:lineRule="auto"/>
              <w:ind w:left="0" w:firstLine="0"/>
              <w:jc w:val="both"/>
              <w:rPr>
                <w:rFonts w:cstheme="minorHAnsi"/>
                <w:b w:val="0"/>
                <w:i/>
              </w:rPr>
            </w:pPr>
            <w:r w:rsidRPr="00F1626B">
              <w:rPr>
                <w:rFonts w:eastAsia="Calibri" w:cstheme="minorHAnsi"/>
                <w:noProof/>
                <w:lang w:eastAsia="tr-TR"/>
              </w:rPr>
              <w:t>Öğrenci ve personel memnuniyeti sistematik olarak yapılması, elde edilen sonuçlar ve sonuçların değerlendirilmesi ile alınan önlemler/ iyileştirmelerin yapılmaması</w:t>
            </w:r>
          </w:p>
        </w:tc>
        <w:tc>
          <w:tcPr>
            <w:tcW w:w="4649" w:type="dxa"/>
            <w:vAlign w:val="center"/>
          </w:tcPr>
          <w:p w14:paraId="7E5975EB" w14:textId="77777777" w:rsidR="004D46E6" w:rsidRPr="00F1626B" w:rsidRDefault="004D46E6" w:rsidP="00F1626B">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b/>
              </w:rPr>
            </w:pPr>
            <w:r w:rsidRPr="00F1626B">
              <w:rPr>
                <w:rFonts w:eastAsia="Calibri" w:cstheme="minorHAnsi"/>
                <w:noProof/>
                <w:lang w:eastAsia="tr-TR"/>
              </w:rPr>
              <w:t>Öğrenci ve akademik personelin memnuniyetine yönelik sistematik bir araştırma verileri bulunmamaktadır.</w:t>
            </w:r>
          </w:p>
        </w:tc>
      </w:tr>
      <w:tr w:rsidR="00F1626B" w:rsidRPr="00F1626B" w14:paraId="4223BA9E" w14:textId="77777777" w:rsidTr="00D968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2E381388" w14:textId="1909B903" w:rsidR="004D46E6" w:rsidRPr="00F1626B" w:rsidRDefault="004D46E6" w:rsidP="00F1626B">
            <w:pPr>
              <w:pStyle w:val="ListeParagraf"/>
              <w:numPr>
                <w:ilvl w:val="0"/>
                <w:numId w:val="5"/>
              </w:numPr>
              <w:spacing w:line="276" w:lineRule="auto"/>
              <w:ind w:left="0" w:firstLine="0"/>
              <w:jc w:val="both"/>
              <w:rPr>
                <w:rFonts w:eastAsia="Calibri" w:cstheme="minorHAnsi"/>
                <w:i/>
                <w:noProof/>
                <w:lang w:eastAsia="tr-TR"/>
              </w:rPr>
            </w:pPr>
            <w:r w:rsidRPr="00F1626B">
              <w:rPr>
                <w:rFonts w:eastAsia="Calibri" w:cstheme="minorHAnsi"/>
                <w:noProof/>
                <w:lang w:eastAsia="tr-TR"/>
              </w:rPr>
              <w:t>Fakültede görev yapmakta olan bazı öğretim elemanlarının özgeçmişlerinin güncellenmemesi</w:t>
            </w:r>
          </w:p>
        </w:tc>
        <w:tc>
          <w:tcPr>
            <w:tcW w:w="4649" w:type="dxa"/>
            <w:vAlign w:val="center"/>
          </w:tcPr>
          <w:p w14:paraId="3852235F" w14:textId="77777777" w:rsidR="004D46E6" w:rsidRPr="00F1626B" w:rsidRDefault="004D46E6" w:rsidP="00F1626B">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noProof/>
                <w:lang w:eastAsia="tr-TR"/>
              </w:rPr>
            </w:pPr>
            <w:r w:rsidRPr="00F1626B">
              <w:rPr>
                <w:rFonts w:eastAsia="Calibri" w:cstheme="minorHAnsi"/>
                <w:noProof/>
                <w:lang w:eastAsia="tr-TR"/>
              </w:rPr>
              <w:t xml:space="preserve">Fakültede görev yapmakta olan öğretim elemanlarının özgeçmişlerinin güncellenmesinin sağlandığı belirtilmiş olup web sayfasında yer alan özgeçmişler güncellenmiş. Ancak İç Mimarlık Bölümünde öğretim elemanı isim bilgilerinin </w:t>
            </w:r>
            <w:r w:rsidRPr="00F1626B">
              <w:rPr>
                <w:rFonts w:cstheme="minorHAnsi"/>
              </w:rPr>
              <w:t>güncel olmadığı tespit edilmiştir.</w:t>
            </w:r>
          </w:p>
        </w:tc>
      </w:tr>
    </w:tbl>
    <w:p w14:paraId="6FBB27B2" w14:textId="77777777" w:rsidR="004D46E6" w:rsidRPr="00F1626B" w:rsidRDefault="004D46E6" w:rsidP="00F1626B">
      <w:pPr>
        <w:spacing w:after="0" w:line="276" w:lineRule="auto"/>
        <w:rPr>
          <w:rFonts w:cstheme="minorHAnsi"/>
          <w:b/>
        </w:rPr>
      </w:pPr>
    </w:p>
    <w:p w14:paraId="59F63BBD" w14:textId="77777777" w:rsidR="004D46E6" w:rsidRPr="00F1626B" w:rsidRDefault="004D46E6" w:rsidP="00F1626B">
      <w:pPr>
        <w:pStyle w:val="ListeParagraf"/>
        <w:numPr>
          <w:ilvl w:val="0"/>
          <w:numId w:val="1"/>
        </w:numPr>
        <w:spacing w:after="0" w:line="276" w:lineRule="auto"/>
        <w:rPr>
          <w:rFonts w:cstheme="minorHAnsi"/>
          <w:b/>
        </w:rPr>
      </w:pPr>
      <w:r w:rsidRPr="00F1626B">
        <w:rPr>
          <w:rFonts w:cstheme="minorHAnsi"/>
          <w:b/>
        </w:rPr>
        <w:t xml:space="preserve">Sonuç ve Değerlendirme </w:t>
      </w:r>
    </w:p>
    <w:p w14:paraId="29680EE4" w14:textId="77777777" w:rsidR="00F00332" w:rsidRDefault="00F00332" w:rsidP="007439F3">
      <w:pPr>
        <w:spacing w:after="0" w:line="276" w:lineRule="auto"/>
        <w:rPr>
          <w:rFonts w:cstheme="minorHAnsi"/>
        </w:rPr>
      </w:pPr>
    </w:p>
    <w:p w14:paraId="3F44777E" w14:textId="16ED481F" w:rsidR="00F00332" w:rsidRPr="00821FEF" w:rsidRDefault="00F00332" w:rsidP="00F00332">
      <w:pPr>
        <w:spacing w:after="0" w:line="276" w:lineRule="auto"/>
        <w:jc w:val="both"/>
        <w:rPr>
          <w:rFonts w:cstheme="minorHAnsi"/>
        </w:rPr>
      </w:pPr>
      <w:r>
        <w:rPr>
          <w:rFonts w:cstheme="minorHAnsi"/>
        </w:rPr>
        <w:t>İzleme Takımının, 24 Mart 2022 tarihinde yaptığı izleme ziyaretinde, Güzel Sanatlar ve Tasarım Fakültesi Kalite Komisyonu tarafından 2021 yılında hazırlanan Birim Geri Bildirim Raporunda belirtilen öneriler kapsamında yapılan iyileştirmeleri ve henüz sağlanamayan gelişmeleri kapsayan, yapıcı ve kapsamlı bir rapor sunulmuştur. Gelişime açık olarak değerlendirilen yönlere ilişkin atılan adımlar olumlu yönde ilerleme sağlamış ve kolaylıkla saptanmıştır. Kalite kültürünün yaygınlaştırılması için adımlar atılmıştır. Misyon ve vizyonun yeniden ifadesi uygun olmakla birlikte daha spesifik ifadeler barındırması halinde fakülteyi daha iyi yansıtacağı ifade edilmiştir. Akademik ve idari birimlerin iş tanımları ve görev paylaşımları sağlıklı ve net biçimde yapılmıştır. İş akış şeması gibi çok kısa dokunuşlar ile kapatılabilecek eksiklikler tespit edilmiştir. Eğitim süreçlerine ilişkin hassas uygulamalar planlamadan, uygulamaya ve kontrole kadar getirilmiştir. Kontrol sonrası verilerin analizi ve alınan önlemler olmasına karşın kanıt olarak sunulmadığından eksik gözükmektedir fakat ilgili personel bu konuda da hızlı ve doğru adımlar atarak kanıtları da paydaşlar için kolay ulaşılabilir hale getirecektir. AR-GE konusunda paydaş ortaklıkları ve iş birlikleri konusunda ayrıntıların paylaşılması halinde çok daha net bir profil çizileceği değerlendirilmektedir. Çalışmada yer alan arkadaşlarımızın her birinin özverili biçimde çalışmış olduğu değerlendirilmektedir. Bu anlayışla, birimin gelecek dönemlerde iyileştirmesinin uygun olacağı değerlendirilen konular aşağıda ana başlıklar altında belirtilmiştir:</w:t>
      </w:r>
    </w:p>
    <w:p w14:paraId="3C4F0A21" w14:textId="77777777" w:rsidR="00F00332" w:rsidRDefault="00F00332" w:rsidP="007439F3">
      <w:pPr>
        <w:spacing w:after="0" w:line="276" w:lineRule="auto"/>
        <w:rPr>
          <w:rFonts w:cstheme="minorHAnsi"/>
        </w:rPr>
      </w:pPr>
    </w:p>
    <w:p w14:paraId="4B69896B" w14:textId="78050D70" w:rsidR="00967897" w:rsidRPr="00F00332" w:rsidRDefault="00F00332" w:rsidP="007439F3">
      <w:pPr>
        <w:spacing w:after="0" w:line="276" w:lineRule="auto"/>
        <w:rPr>
          <w:rFonts w:cstheme="minorHAnsi"/>
          <w:u w:val="single"/>
        </w:rPr>
      </w:pPr>
      <w:r w:rsidRPr="00F00332">
        <w:rPr>
          <w:rFonts w:cstheme="minorHAnsi"/>
          <w:u w:val="single"/>
        </w:rPr>
        <w:t>KALİTE GÜVENCE SİSTEMİ:</w:t>
      </w:r>
    </w:p>
    <w:p w14:paraId="2AC9AE88" w14:textId="77777777" w:rsidR="00967897" w:rsidRDefault="00967897" w:rsidP="007439F3">
      <w:pPr>
        <w:spacing w:after="0" w:line="276" w:lineRule="auto"/>
        <w:rPr>
          <w:rFonts w:cstheme="minorHAnsi"/>
        </w:rPr>
      </w:pPr>
      <w:r>
        <w:rPr>
          <w:rFonts w:cstheme="minorHAnsi"/>
        </w:rPr>
        <w:t>Güçlü yönler,</w:t>
      </w:r>
    </w:p>
    <w:p w14:paraId="16395706" w14:textId="77777777" w:rsidR="00967897" w:rsidRDefault="00967897" w:rsidP="007439F3">
      <w:pPr>
        <w:pStyle w:val="ListeParagraf"/>
        <w:numPr>
          <w:ilvl w:val="0"/>
          <w:numId w:val="7"/>
        </w:numPr>
        <w:spacing w:after="0" w:line="276" w:lineRule="auto"/>
        <w:jc w:val="both"/>
        <w:rPr>
          <w:rFonts w:cstheme="minorHAnsi"/>
        </w:rPr>
      </w:pPr>
      <w:r w:rsidRPr="002041BA">
        <w:rPr>
          <w:rFonts w:cstheme="minorHAnsi"/>
        </w:rPr>
        <w:t>Fakültenin 2022-2026 yılları için oluştuğu yeni 5 yıllık Stratejik Planı</w:t>
      </w:r>
      <w:r>
        <w:rPr>
          <w:rFonts w:cstheme="minorHAnsi"/>
        </w:rPr>
        <w:t>nda</w:t>
      </w:r>
      <w:r w:rsidRPr="002041BA">
        <w:rPr>
          <w:rFonts w:cstheme="minorHAnsi"/>
        </w:rPr>
        <w:t xml:space="preserve"> (SP) daha ölçülebilir performans göstergeleri oluşturulmuş ve faaliyetler tanımlanmıştır</w:t>
      </w:r>
      <w:r>
        <w:rPr>
          <w:rFonts w:cstheme="minorHAnsi"/>
        </w:rPr>
        <w:t>.</w:t>
      </w:r>
    </w:p>
    <w:p w14:paraId="30CC3CD3" w14:textId="77777777" w:rsidR="00967897" w:rsidRDefault="00967897" w:rsidP="007439F3">
      <w:pPr>
        <w:pStyle w:val="ListeParagraf"/>
        <w:numPr>
          <w:ilvl w:val="0"/>
          <w:numId w:val="7"/>
        </w:numPr>
        <w:spacing w:after="0" w:line="276" w:lineRule="auto"/>
        <w:jc w:val="both"/>
        <w:rPr>
          <w:rFonts w:cstheme="minorHAnsi"/>
        </w:rPr>
      </w:pPr>
      <w:r>
        <w:rPr>
          <w:rFonts w:cstheme="minorHAnsi"/>
        </w:rPr>
        <w:t>Fakültede kalite güvence sisteminin sağlanmasına yönelik politikalar mevcuttur.</w:t>
      </w:r>
    </w:p>
    <w:p w14:paraId="2646349C" w14:textId="77777777" w:rsidR="00967897" w:rsidRDefault="00967897" w:rsidP="007439F3">
      <w:pPr>
        <w:pStyle w:val="ListeParagraf"/>
        <w:numPr>
          <w:ilvl w:val="0"/>
          <w:numId w:val="7"/>
        </w:numPr>
        <w:spacing w:after="0" w:line="276" w:lineRule="auto"/>
        <w:jc w:val="both"/>
        <w:rPr>
          <w:rFonts w:cstheme="minorHAnsi"/>
        </w:rPr>
      </w:pPr>
      <w:r>
        <w:rPr>
          <w:rFonts w:cstheme="minorHAnsi"/>
        </w:rPr>
        <w:t>Kalite güvence sisteminde paydaş katılımı sağlanmaktadır.</w:t>
      </w:r>
    </w:p>
    <w:p w14:paraId="6E5D02DC" w14:textId="77777777" w:rsidR="00967897" w:rsidRDefault="00967897" w:rsidP="007439F3">
      <w:pPr>
        <w:spacing w:after="0" w:line="276" w:lineRule="auto"/>
        <w:jc w:val="both"/>
        <w:rPr>
          <w:rFonts w:cstheme="minorHAnsi"/>
        </w:rPr>
      </w:pPr>
      <w:r>
        <w:rPr>
          <w:rFonts w:cstheme="minorHAnsi"/>
        </w:rPr>
        <w:t>Gelişmeye açık yönler,</w:t>
      </w:r>
    </w:p>
    <w:p w14:paraId="0143A8FD" w14:textId="77777777" w:rsidR="00967897" w:rsidRDefault="00967897" w:rsidP="007439F3">
      <w:pPr>
        <w:pStyle w:val="ListeParagraf"/>
        <w:numPr>
          <w:ilvl w:val="0"/>
          <w:numId w:val="8"/>
        </w:numPr>
        <w:spacing w:after="0" w:line="276" w:lineRule="auto"/>
        <w:ind w:left="709" w:hanging="283"/>
        <w:jc w:val="both"/>
        <w:rPr>
          <w:rFonts w:cstheme="minorHAnsi"/>
        </w:rPr>
      </w:pPr>
      <w:r w:rsidRPr="001F6528">
        <w:rPr>
          <w:rFonts w:cstheme="minorHAnsi"/>
        </w:rPr>
        <w:t xml:space="preserve">Fakültenin misyon ve vizyon ifadeleri çok geniş kapsamda </w:t>
      </w:r>
      <w:r>
        <w:rPr>
          <w:rFonts w:cstheme="minorHAnsi"/>
        </w:rPr>
        <w:t>belirtilmiştir</w:t>
      </w:r>
      <w:r w:rsidRPr="001F6528">
        <w:rPr>
          <w:rFonts w:cstheme="minorHAnsi"/>
        </w:rPr>
        <w:t xml:space="preserve">. Bu ifadelerin </w:t>
      </w:r>
      <w:r>
        <w:rPr>
          <w:rFonts w:cstheme="minorHAnsi"/>
        </w:rPr>
        <w:t xml:space="preserve">fakülte kalite politikası kapsamında, </w:t>
      </w:r>
      <w:r w:rsidRPr="001F6528">
        <w:rPr>
          <w:rFonts w:cstheme="minorHAnsi"/>
        </w:rPr>
        <w:t>daha spesifik bir alanı hedef gösterecek şekilde düzenlenmesi, fakültenin misyon ve vizyonunu daha açık ve güçlü hale</w:t>
      </w:r>
      <w:r>
        <w:rPr>
          <w:rFonts w:cstheme="minorHAnsi"/>
        </w:rPr>
        <w:t xml:space="preserve"> getirebilir.</w:t>
      </w:r>
      <w:r w:rsidRPr="001F6528">
        <w:rPr>
          <w:rFonts w:cstheme="minorHAnsi"/>
        </w:rPr>
        <w:t xml:space="preserve"> </w:t>
      </w:r>
    </w:p>
    <w:p w14:paraId="1BB69727" w14:textId="77777777" w:rsidR="00967897" w:rsidRDefault="00967897" w:rsidP="007439F3">
      <w:pPr>
        <w:pStyle w:val="ListeParagraf"/>
        <w:numPr>
          <w:ilvl w:val="0"/>
          <w:numId w:val="8"/>
        </w:numPr>
        <w:spacing w:after="0" w:line="276" w:lineRule="auto"/>
        <w:ind w:left="709" w:hanging="283"/>
        <w:jc w:val="both"/>
        <w:rPr>
          <w:rFonts w:cstheme="minorHAnsi"/>
        </w:rPr>
      </w:pPr>
      <w:proofErr w:type="spellStart"/>
      <w:r w:rsidRPr="00F1626B">
        <w:rPr>
          <w:rFonts w:cstheme="minorHAnsi"/>
        </w:rPr>
        <w:t>SP</w:t>
      </w:r>
      <w:r>
        <w:rPr>
          <w:rFonts w:cstheme="minorHAnsi"/>
        </w:rPr>
        <w:t>’de</w:t>
      </w:r>
      <w:proofErr w:type="spellEnd"/>
      <w:r w:rsidRPr="00F1626B">
        <w:rPr>
          <w:rFonts w:cstheme="minorHAnsi"/>
        </w:rPr>
        <w:t xml:space="preserve"> yer ala</w:t>
      </w:r>
      <w:r>
        <w:rPr>
          <w:rFonts w:cstheme="minorHAnsi"/>
        </w:rPr>
        <w:t>n</w:t>
      </w:r>
      <w:r w:rsidRPr="00F1626B">
        <w:rPr>
          <w:rFonts w:cstheme="minorHAnsi"/>
        </w:rPr>
        <w:t xml:space="preserve"> hedefler</w:t>
      </w:r>
      <w:r>
        <w:rPr>
          <w:rFonts w:cstheme="minorHAnsi"/>
        </w:rPr>
        <w:t xml:space="preserve">e ulaşma yönünde faaliyet için PUKÖ çevriminin kapatılması için uygulamalar ve kanıtlar bulunmamaktadır. Özellikle kontrol ve önlem almaya yönelik mekanizmalar mevcut değildir.  </w:t>
      </w:r>
    </w:p>
    <w:p w14:paraId="46D17136" w14:textId="77777777" w:rsidR="00967897" w:rsidRDefault="00967897" w:rsidP="007439F3">
      <w:pPr>
        <w:pStyle w:val="ListeParagraf"/>
        <w:numPr>
          <w:ilvl w:val="0"/>
          <w:numId w:val="8"/>
        </w:numPr>
        <w:spacing w:after="0" w:line="276" w:lineRule="auto"/>
        <w:ind w:left="709" w:hanging="283"/>
        <w:jc w:val="both"/>
        <w:rPr>
          <w:rFonts w:cstheme="minorHAnsi"/>
        </w:rPr>
      </w:pPr>
      <w:r>
        <w:rPr>
          <w:rFonts w:cstheme="minorHAnsi"/>
        </w:rPr>
        <w:t xml:space="preserve">Paydaş katılımlımda danışman kurullarından başka yeni bir mekanizma bulunmamaktadır. </w:t>
      </w:r>
    </w:p>
    <w:p w14:paraId="6BF0F2E1" w14:textId="77777777" w:rsidR="00967897" w:rsidRDefault="00967897" w:rsidP="007439F3">
      <w:pPr>
        <w:pStyle w:val="ListeParagraf"/>
        <w:numPr>
          <w:ilvl w:val="0"/>
          <w:numId w:val="8"/>
        </w:numPr>
        <w:spacing w:after="0" w:line="276" w:lineRule="auto"/>
        <w:ind w:left="709" w:hanging="283"/>
        <w:jc w:val="both"/>
        <w:rPr>
          <w:rFonts w:cstheme="minorHAnsi"/>
        </w:rPr>
      </w:pPr>
      <w:r>
        <w:rPr>
          <w:rFonts w:cstheme="minorHAnsi"/>
        </w:rPr>
        <w:t>Fakülte k</w:t>
      </w:r>
      <w:r w:rsidRPr="0045421D">
        <w:rPr>
          <w:rFonts w:cstheme="minorHAnsi"/>
        </w:rPr>
        <w:t>alite komisyonu</w:t>
      </w:r>
      <w:r>
        <w:rPr>
          <w:rFonts w:cstheme="minorHAnsi"/>
        </w:rPr>
        <w:t xml:space="preserve"> bulunmakla olmakla birlikte alt</w:t>
      </w:r>
      <w:r w:rsidRPr="0045421D">
        <w:rPr>
          <w:rFonts w:cstheme="minorHAnsi"/>
        </w:rPr>
        <w:t xml:space="preserve"> çalışma komisyonları</w:t>
      </w:r>
      <w:r>
        <w:rPr>
          <w:rFonts w:cstheme="minorHAnsi"/>
        </w:rPr>
        <w:t xml:space="preserve"> belirtilmemiştir. Bunlar web sitesinde de yer almamaktadır.  </w:t>
      </w:r>
    </w:p>
    <w:p w14:paraId="15A28432" w14:textId="77777777" w:rsidR="00967897" w:rsidRDefault="00967897" w:rsidP="007439F3">
      <w:pPr>
        <w:pStyle w:val="ListeParagraf"/>
        <w:numPr>
          <w:ilvl w:val="0"/>
          <w:numId w:val="8"/>
        </w:numPr>
        <w:spacing w:after="0" w:line="276" w:lineRule="auto"/>
        <w:ind w:left="709" w:hanging="283"/>
        <w:jc w:val="both"/>
        <w:rPr>
          <w:rFonts w:cstheme="minorHAnsi"/>
        </w:rPr>
      </w:pPr>
      <w:r>
        <w:rPr>
          <w:rFonts w:cstheme="minorHAnsi"/>
        </w:rPr>
        <w:t xml:space="preserve">Kalite komisyonunda mezun ve dış paydaşlar bulunmamaktadır. </w:t>
      </w:r>
    </w:p>
    <w:p w14:paraId="16B63FB8" w14:textId="77777777" w:rsidR="00967897" w:rsidRDefault="00967897" w:rsidP="007439F3">
      <w:pPr>
        <w:pStyle w:val="ListeParagraf"/>
        <w:numPr>
          <w:ilvl w:val="0"/>
          <w:numId w:val="8"/>
        </w:numPr>
        <w:spacing w:after="0" w:line="276" w:lineRule="auto"/>
        <w:ind w:left="709" w:hanging="283"/>
        <w:jc w:val="both"/>
        <w:rPr>
          <w:rFonts w:cstheme="minorHAnsi"/>
        </w:rPr>
      </w:pPr>
      <w:r>
        <w:rPr>
          <w:rFonts w:cstheme="minorHAnsi"/>
        </w:rPr>
        <w:t>F</w:t>
      </w:r>
      <w:r w:rsidRPr="00F1626B">
        <w:rPr>
          <w:rFonts w:cstheme="minorHAnsi"/>
        </w:rPr>
        <w:t>akültenin</w:t>
      </w:r>
      <w:r>
        <w:rPr>
          <w:rFonts w:cstheme="minorHAnsi"/>
        </w:rPr>
        <w:t xml:space="preserve"> </w:t>
      </w:r>
      <w:proofErr w:type="spellStart"/>
      <w:r>
        <w:rPr>
          <w:rFonts w:cstheme="minorHAnsi"/>
        </w:rPr>
        <w:t>uluslararasılaştırma</w:t>
      </w:r>
      <w:proofErr w:type="spellEnd"/>
      <w:r w:rsidRPr="00F1626B">
        <w:rPr>
          <w:rFonts w:cstheme="minorHAnsi"/>
        </w:rPr>
        <w:t xml:space="preserve"> </w:t>
      </w:r>
      <w:r>
        <w:rPr>
          <w:rFonts w:cstheme="minorHAnsi"/>
        </w:rPr>
        <w:t xml:space="preserve">için </w:t>
      </w:r>
      <w:r w:rsidRPr="00F1626B">
        <w:rPr>
          <w:rFonts w:cstheme="minorHAnsi"/>
        </w:rPr>
        <w:t>yürütülen</w:t>
      </w:r>
      <w:r>
        <w:rPr>
          <w:rFonts w:cstheme="minorHAnsi"/>
        </w:rPr>
        <w:t xml:space="preserve"> </w:t>
      </w:r>
      <w:r w:rsidRPr="00F1626B">
        <w:rPr>
          <w:rFonts w:cstheme="minorHAnsi"/>
        </w:rPr>
        <w:t>faal</w:t>
      </w:r>
      <w:r>
        <w:rPr>
          <w:rFonts w:cstheme="minorHAnsi"/>
        </w:rPr>
        <w:t xml:space="preserve">iyetlerde, yurt dışına giden öğretim üyelerinin gösterilmesinden başka farklı faaliyet uygulamaları (ortak proje, kongre, </w:t>
      </w:r>
      <w:proofErr w:type="spellStart"/>
      <w:r>
        <w:rPr>
          <w:rFonts w:cstheme="minorHAnsi"/>
        </w:rPr>
        <w:t>çalıştay</w:t>
      </w:r>
      <w:proofErr w:type="spellEnd"/>
      <w:r>
        <w:rPr>
          <w:rFonts w:cstheme="minorHAnsi"/>
        </w:rPr>
        <w:t xml:space="preserve"> </w:t>
      </w:r>
      <w:proofErr w:type="spellStart"/>
      <w:r>
        <w:rPr>
          <w:rFonts w:cstheme="minorHAnsi"/>
        </w:rPr>
        <w:t>vb</w:t>
      </w:r>
      <w:proofErr w:type="spellEnd"/>
      <w:r>
        <w:rPr>
          <w:rFonts w:cstheme="minorHAnsi"/>
        </w:rPr>
        <w:t>) bulunmamaktadır.</w:t>
      </w:r>
    </w:p>
    <w:p w14:paraId="68B7293E" w14:textId="6EFBDA15" w:rsidR="00967897" w:rsidRDefault="00967897" w:rsidP="007439F3">
      <w:pPr>
        <w:pStyle w:val="ListeParagraf"/>
        <w:numPr>
          <w:ilvl w:val="0"/>
          <w:numId w:val="8"/>
        </w:numPr>
        <w:spacing w:after="0" w:line="276" w:lineRule="auto"/>
        <w:ind w:left="709" w:hanging="283"/>
        <w:jc w:val="both"/>
        <w:rPr>
          <w:rFonts w:cstheme="minorHAnsi"/>
        </w:rPr>
      </w:pPr>
      <w:r>
        <w:rPr>
          <w:rFonts w:cstheme="minorHAnsi"/>
        </w:rPr>
        <w:t>K</w:t>
      </w:r>
      <w:r w:rsidRPr="00D97A66">
        <w:rPr>
          <w:rFonts w:cstheme="minorHAnsi"/>
        </w:rPr>
        <w:t xml:space="preserve">alite kültürünün yaygınlaşmasına yönelik faaliyetler bulunmamaktadır. </w:t>
      </w:r>
    </w:p>
    <w:p w14:paraId="4EEA52A9" w14:textId="66619CEE" w:rsidR="00967897" w:rsidRPr="00F00332" w:rsidRDefault="00967897" w:rsidP="007439F3">
      <w:pPr>
        <w:spacing w:after="0" w:line="276" w:lineRule="auto"/>
        <w:jc w:val="both"/>
        <w:rPr>
          <w:rFonts w:cstheme="minorHAnsi"/>
          <w:u w:val="single"/>
        </w:rPr>
      </w:pPr>
      <w:r w:rsidRPr="00F00332">
        <w:rPr>
          <w:rFonts w:cstheme="minorHAnsi"/>
          <w:u w:val="single"/>
        </w:rPr>
        <w:t>EĞİTİM ÖĞRETİM</w:t>
      </w:r>
    </w:p>
    <w:p w14:paraId="49CE570A" w14:textId="5389CC90" w:rsidR="00967897" w:rsidRDefault="00967897" w:rsidP="007439F3">
      <w:pPr>
        <w:spacing w:after="0" w:line="276" w:lineRule="auto"/>
        <w:jc w:val="both"/>
        <w:rPr>
          <w:rFonts w:cstheme="minorHAnsi"/>
        </w:rPr>
      </w:pPr>
      <w:r>
        <w:rPr>
          <w:rFonts w:cstheme="minorHAnsi"/>
        </w:rPr>
        <w:t xml:space="preserve">Güçlü Yönler; </w:t>
      </w:r>
    </w:p>
    <w:p w14:paraId="44DBDA8D" w14:textId="05E7D36D" w:rsidR="00967897" w:rsidRPr="00745EC2" w:rsidRDefault="00967897" w:rsidP="007439F3">
      <w:pPr>
        <w:pStyle w:val="ListeParagraf"/>
        <w:numPr>
          <w:ilvl w:val="0"/>
          <w:numId w:val="9"/>
        </w:numPr>
        <w:spacing w:after="0" w:line="276" w:lineRule="auto"/>
        <w:jc w:val="both"/>
        <w:rPr>
          <w:rFonts w:cstheme="minorHAnsi"/>
        </w:rPr>
      </w:pPr>
      <w:r w:rsidRPr="00967897">
        <w:rPr>
          <w:rFonts w:cstheme="minorHAnsi"/>
          <w:bCs/>
        </w:rPr>
        <w:t>Eğitim öğretime ilişkin politika açıkça ifade edilmiş</w:t>
      </w:r>
      <w:r>
        <w:rPr>
          <w:rFonts w:cstheme="minorHAnsi"/>
          <w:bCs/>
        </w:rPr>
        <w:t>tir.</w:t>
      </w:r>
    </w:p>
    <w:p w14:paraId="29A6A07D" w14:textId="1E53BF83" w:rsidR="00745EC2" w:rsidRPr="00745EC2" w:rsidRDefault="00745EC2" w:rsidP="007439F3">
      <w:pPr>
        <w:pStyle w:val="ListeParagraf"/>
        <w:numPr>
          <w:ilvl w:val="0"/>
          <w:numId w:val="9"/>
        </w:numPr>
        <w:spacing w:after="0" w:line="276" w:lineRule="auto"/>
        <w:jc w:val="both"/>
        <w:rPr>
          <w:rFonts w:cstheme="minorHAnsi"/>
        </w:rPr>
      </w:pPr>
      <w:r>
        <w:rPr>
          <w:rFonts w:cstheme="minorHAnsi"/>
          <w:bCs/>
        </w:rPr>
        <w:t xml:space="preserve">Mevcut bölümlerin staj ve </w:t>
      </w:r>
      <w:proofErr w:type="spellStart"/>
      <w:r>
        <w:rPr>
          <w:rFonts w:cstheme="minorHAnsi"/>
          <w:bCs/>
        </w:rPr>
        <w:t>intörn</w:t>
      </w:r>
      <w:proofErr w:type="spellEnd"/>
      <w:r>
        <w:rPr>
          <w:rFonts w:cstheme="minorHAnsi"/>
          <w:bCs/>
        </w:rPr>
        <w:t xml:space="preserve"> uygulamalarına ilişkin süreçler açıkça ifade edilmekle birlikte akademik birimler ve sorumlularca takip edilmektedir. </w:t>
      </w:r>
    </w:p>
    <w:p w14:paraId="0DE6C914" w14:textId="29A60E05" w:rsidR="00745EC2" w:rsidRPr="00644311" w:rsidRDefault="00745EC2" w:rsidP="007439F3">
      <w:pPr>
        <w:pStyle w:val="ListeParagraf"/>
        <w:numPr>
          <w:ilvl w:val="0"/>
          <w:numId w:val="9"/>
        </w:numPr>
        <w:spacing w:after="0" w:line="276" w:lineRule="auto"/>
        <w:jc w:val="both"/>
        <w:rPr>
          <w:rFonts w:cstheme="minorHAnsi"/>
        </w:rPr>
      </w:pPr>
      <w:r>
        <w:rPr>
          <w:rFonts w:cstheme="minorHAnsi"/>
          <w:bCs/>
        </w:rPr>
        <w:t xml:space="preserve">Eğitim planlaması ve müfredat geliştirme süreçleri ile ilgili konularda paydaş </w:t>
      </w:r>
      <w:r w:rsidR="00644311">
        <w:rPr>
          <w:rFonts w:cstheme="minorHAnsi"/>
          <w:bCs/>
        </w:rPr>
        <w:t xml:space="preserve">katılımı ile düzenlenmektedir. </w:t>
      </w:r>
    </w:p>
    <w:p w14:paraId="6274962E" w14:textId="1B6F746A" w:rsidR="00644311" w:rsidRDefault="00644311" w:rsidP="007439F3">
      <w:pPr>
        <w:spacing w:after="0" w:line="276" w:lineRule="auto"/>
        <w:jc w:val="both"/>
        <w:rPr>
          <w:rFonts w:cstheme="minorHAnsi"/>
        </w:rPr>
      </w:pPr>
      <w:r>
        <w:rPr>
          <w:rFonts w:cstheme="minorHAnsi"/>
        </w:rPr>
        <w:t>Gelişmeye Açık Yönler;</w:t>
      </w:r>
    </w:p>
    <w:p w14:paraId="1DD1D5DC" w14:textId="24826126" w:rsidR="00644311" w:rsidRDefault="00644311" w:rsidP="007439F3">
      <w:pPr>
        <w:pStyle w:val="ListeParagraf"/>
        <w:numPr>
          <w:ilvl w:val="0"/>
          <w:numId w:val="10"/>
        </w:numPr>
        <w:spacing w:after="0" w:line="276" w:lineRule="auto"/>
        <w:jc w:val="both"/>
        <w:rPr>
          <w:rFonts w:cstheme="minorHAnsi"/>
        </w:rPr>
      </w:pPr>
      <w:r>
        <w:rPr>
          <w:rFonts w:cstheme="minorHAnsi"/>
        </w:rPr>
        <w:t>BOLOGNA bilgi paketinde ders içerikleri güncel olmakla birlikte yeni açılan Gastronomi ve Mutfak Sanatları Bölümünün de diğer bölümlerin seviyesine getirilmesi.</w:t>
      </w:r>
    </w:p>
    <w:p w14:paraId="410EF0C8" w14:textId="63DB1F86" w:rsidR="00644311" w:rsidRDefault="00644311" w:rsidP="007439F3">
      <w:pPr>
        <w:pStyle w:val="ListeParagraf"/>
        <w:numPr>
          <w:ilvl w:val="0"/>
          <w:numId w:val="10"/>
        </w:numPr>
        <w:spacing w:after="0" w:line="276" w:lineRule="auto"/>
        <w:jc w:val="both"/>
        <w:rPr>
          <w:rFonts w:cstheme="minorHAnsi"/>
        </w:rPr>
      </w:pPr>
      <w:r>
        <w:rPr>
          <w:rFonts w:cstheme="minorHAnsi"/>
        </w:rPr>
        <w:t xml:space="preserve">ÇAP konusunda öğrenciler bilgilendirilmekle birlikte web sayfasında bir sekmede ÇAP </w:t>
      </w:r>
      <w:proofErr w:type="gramStart"/>
      <w:r>
        <w:rPr>
          <w:rFonts w:cstheme="minorHAnsi"/>
        </w:rPr>
        <w:t>imkanı</w:t>
      </w:r>
      <w:proofErr w:type="gramEnd"/>
      <w:r>
        <w:rPr>
          <w:rFonts w:cstheme="minorHAnsi"/>
        </w:rPr>
        <w:t xml:space="preserve"> ve koşullarının paylaşılması paydaş bilgilendirmesi için gelişime açık yön olarak saptanmıştır.</w:t>
      </w:r>
    </w:p>
    <w:p w14:paraId="68554DD7" w14:textId="172D9FAC" w:rsidR="00874011" w:rsidRPr="00644311" w:rsidRDefault="00874011" w:rsidP="007439F3">
      <w:pPr>
        <w:pStyle w:val="ListeParagraf"/>
        <w:numPr>
          <w:ilvl w:val="0"/>
          <w:numId w:val="10"/>
        </w:numPr>
        <w:spacing w:after="0" w:line="276" w:lineRule="auto"/>
        <w:jc w:val="both"/>
        <w:rPr>
          <w:rFonts w:cstheme="minorHAnsi"/>
        </w:rPr>
      </w:pPr>
      <w:r>
        <w:rPr>
          <w:rFonts w:cstheme="minorHAnsi"/>
        </w:rPr>
        <w:t>Yapılan tüm geliştirme ve geri besleme uygulamaları ile karar süreçlerinin kanıtlarının açık biçimde paylaşılmaması.</w:t>
      </w:r>
    </w:p>
    <w:p w14:paraId="33EF3C09" w14:textId="01BA756B" w:rsidR="00967897" w:rsidRPr="00F00332" w:rsidRDefault="00967897" w:rsidP="007439F3">
      <w:pPr>
        <w:spacing w:after="0" w:line="276" w:lineRule="auto"/>
        <w:jc w:val="both"/>
        <w:rPr>
          <w:rFonts w:cstheme="minorHAnsi"/>
          <w:u w:val="single"/>
        </w:rPr>
      </w:pPr>
      <w:r w:rsidRPr="00F00332">
        <w:rPr>
          <w:rFonts w:cstheme="minorHAnsi"/>
          <w:u w:val="single"/>
        </w:rPr>
        <w:t>ARAŞTIRMA GELİŞTİRME</w:t>
      </w:r>
    </w:p>
    <w:p w14:paraId="022D1A5D" w14:textId="3629B898" w:rsidR="00644311" w:rsidRDefault="00644311" w:rsidP="007439F3">
      <w:pPr>
        <w:spacing w:after="0" w:line="276" w:lineRule="auto"/>
        <w:jc w:val="both"/>
        <w:rPr>
          <w:rFonts w:cstheme="minorHAnsi"/>
        </w:rPr>
      </w:pPr>
      <w:r>
        <w:rPr>
          <w:rFonts w:cstheme="minorHAnsi"/>
        </w:rPr>
        <w:t xml:space="preserve">Güçlü Yönler; </w:t>
      </w:r>
    </w:p>
    <w:p w14:paraId="799B7502" w14:textId="76C98A7A" w:rsidR="00644311" w:rsidRPr="00644311" w:rsidRDefault="00644311" w:rsidP="007439F3">
      <w:pPr>
        <w:pStyle w:val="ListeParagraf"/>
        <w:numPr>
          <w:ilvl w:val="0"/>
          <w:numId w:val="11"/>
        </w:numPr>
        <w:spacing w:after="0" w:line="276" w:lineRule="auto"/>
        <w:jc w:val="both"/>
        <w:rPr>
          <w:rFonts w:cstheme="minorHAnsi"/>
        </w:rPr>
      </w:pPr>
      <w:r>
        <w:rPr>
          <w:rFonts w:cstheme="minorHAnsi"/>
          <w:bCs/>
        </w:rPr>
        <w:t>Kendine özgü hedefler belirlenmesi konusunda 2022-2026 yılları arasında takip edilmek üzere belirlenmiş olan stratejik hedefler açıkça belirtilmiştir.</w:t>
      </w:r>
    </w:p>
    <w:p w14:paraId="2CD27457" w14:textId="20291A1A" w:rsidR="00644311" w:rsidRPr="00644311" w:rsidRDefault="00644311" w:rsidP="007439F3">
      <w:pPr>
        <w:pStyle w:val="ListeParagraf"/>
        <w:numPr>
          <w:ilvl w:val="0"/>
          <w:numId w:val="11"/>
        </w:numPr>
        <w:spacing w:after="0" w:line="276" w:lineRule="auto"/>
        <w:jc w:val="both"/>
        <w:rPr>
          <w:rFonts w:cstheme="minorHAnsi"/>
        </w:rPr>
      </w:pPr>
      <w:r>
        <w:rPr>
          <w:rFonts w:cstheme="minorHAnsi"/>
          <w:bCs/>
        </w:rPr>
        <w:t xml:space="preserve">Kapsamlı bir </w:t>
      </w:r>
      <w:r w:rsidR="00874011">
        <w:rPr>
          <w:rFonts w:cstheme="minorHAnsi"/>
          <w:bCs/>
        </w:rPr>
        <w:t>planlama ve paydaş iş birliği yaklaşımından ayrıntılı biçimde bahsedilmektedir.</w:t>
      </w:r>
    </w:p>
    <w:p w14:paraId="4E9D2802" w14:textId="77777777" w:rsidR="00644311" w:rsidRDefault="00644311" w:rsidP="007439F3">
      <w:pPr>
        <w:spacing w:after="0" w:line="276" w:lineRule="auto"/>
        <w:jc w:val="both"/>
        <w:rPr>
          <w:rFonts w:cstheme="minorHAnsi"/>
        </w:rPr>
      </w:pPr>
      <w:r>
        <w:rPr>
          <w:rFonts w:cstheme="minorHAnsi"/>
        </w:rPr>
        <w:t>Gelişmeye Açık Yönler;</w:t>
      </w:r>
    </w:p>
    <w:p w14:paraId="693735DA" w14:textId="43B03FE6" w:rsidR="00644311" w:rsidRPr="00874011" w:rsidRDefault="00874011" w:rsidP="007439F3">
      <w:pPr>
        <w:pStyle w:val="ListeParagraf"/>
        <w:numPr>
          <w:ilvl w:val="0"/>
          <w:numId w:val="12"/>
        </w:numPr>
        <w:spacing w:after="0" w:line="276" w:lineRule="auto"/>
        <w:jc w:val="both"/>
        <w:rPr>
          <w:rFonts w:cstheme="minorHAnsi"/>
        </w:rPr>
      </w:pPr>
      <w:r>
        <w:rPr>
          <w:rFonts w:cstheme="minorHAnsi"/>
        </w:rPr>
        <w:t>Geniş kapsamlı verilen ortaklık adımlarının spesifik olarak ifade edilmemesi ve kanıtları ile duyurulmaması.</w:t>
      </w:r>
    </w:p>
    <w:p w14:paraId="7BDC70CF" w14:textId="2D4FB864" w:rsidR="00967897" w:rsidRPr="00F00332" w:rsidRDefault="00967897" w:rsidP="007439F3">
      <w:pPr>
        <w:spacing w:after="0" w:line="276" w:lineRule="auto"/>
        <w:jc w:val="both"/>
        <w:rPr>
          <w:rFonts w:cstheme="minorHAnsi"/>
          <w:u w:val="single"/>
        </w:rPr>
      </w:pPr>
      <w:r w:rsidRPr="00F00332">
        <w:rPr>
          <w:rFonts w:cstheme="minorHAnsi"/>
          <w:u w:val="single"/>
        </w:rPr>
        <w:t>YÖNETİM</w:t>
      </w:r>
    </w:p>
    <w:p w14:paraId="2486199E" w14:textId="5B90299A" w:rsidR="00644311" w:rsidRDefault="00644311" w:rsidP="007439F3">
      <w:pPr>
        <w:spacing w:after="0" w:line="276" w:lineRule="auto"/>
        <w:jc w:val="both"/>
        <w:rPr>
          <w:rFonts w:cstheme="minorHAnsi"/>
        </w:rPr>
      </w:pPr>
      <w:r>
        <w:rPr>
          <w:rFonts w:cstheme="minorHAnsi"/>
        </w:rPr>
        <w:t xml:space="preserve">Güçlü Yönler; </w:t>
      </w:r>
    </w:p>
    <w:p w14:paraId="4498EAFC" w14:textId="199C935C" w:rsidR="00874011" w:rsidRDefault="00874011" w:rsidP="007439F3">
      <w:pPr>
        <w:pStyle w:val="ListeParagraf"/>
        <w:numPr>
          <w:ilvl w:val="0"/>
          <w:numId w:val="12"/>
        </w:numPr>
        <w:spacing w:after="0" w:line="276" w:lineRule="auto"/>
        <w:jc w:val="both"/>
        <w:rPr>
          <w:rFonts w:cstheme="minorHAnsi"/>
        </w:rPr>
      </w:pPr>
      <w:r w:rsidRPr="00F1626B">
        <w:rPr>
          <w:rFonts w:cstheme="minorHAnsi"/>
        </w:rPr>
        <w:t>Fakülte bünyesinde yürütülen bazı görevlerin tanımlı süreçleri bulunduğu ve birlikte özellikle idari görevlerin yürütülmesinde görev tanımları</w:t>
      </w:r>
      <w:r>
        <w:rPr>
          <w:rFonts w:cstheme="minorHAnsi"/>
        </w:rPr>
        <w:t>nın ayrıntılı biçimde yapılmış olması.</w:t>
      </w:r>
    </w:p>
    <w:p w14:paraId="26CDF9A1" w14:textId="2013CF08" w:rsidR="00874011" w:rsidRPr="00874011" w:rsidRDefault="00874011" w:rsidP="007439F3">
      <w:pPr>
        <w:pStyle w:val="ListeParagraf"/>
        <w:numPr>
          <w:ilvl w:val="0"/>
          <w:numId w:val="12"/>
        </w:numPr>
        <w:spacing w:after="0" w:line="276" w:lineRule="auto"/>
        <w:jc w:val="both"/>
        <w:rPr>
          <w:rFonts w:cstheme="minorHAnsi"/>
        </w:rPr>
      </w:pPr>
      <w:r>
        <w:rPr>
          <w:rFonts w:cstheme="minorHAnsi"/>
        </w:rPr>
        <w:t>Akademik ve idari personelin kalite kültürü oluşturma ve stratejik hedeflere ulaşma noktasında iş birliği içinde olmaları ve görevlerin net biçimde paylaşılması.</w:t>
      </w:r>
    </w:p>
    <w:p w14:paraId="47918F0D" w14:textId="32FA1A82" w:rsidR="00644311" w:rsidRDefault="00644311" w:rsidP="007439F3">
      <w:pPr>
        <w:spacing w:after="0" w:line="276" w:lineRule="auto"/>
        <w:jc w:val="both"/>
        <w:rPr>
          <w:rFonts w:cstheme="minorHAnsi"/>
        </w:rPr>
      </w:pPr>
      <w:r>
        <w:rPr>
          <w:rFonts w:cstheme="minorHAnsi"/>
        </w:rPr>
        <w:t>Gelişmeye Açık Yönler;</w:t>
      </w:r>
    </w:p>
    <w:p w14:paraId="3FD7B455" w14:textId="03F28924" w:rsidR="00874011" w:rsidRDefault="00821FEF" w:rsidP="007439F3">
      <w:pPr>
        <w:pStyle w:val="ListeParagraf"/>
        <w:numPr>
          <w:ilvl w:val="0"/>
          <w:numId w:val="13"/>
        </w:numPr>
        <w:spacing w:after="0" w:line="276" w:lineRule="auto"/>
        <w:jc w:val="both"/>
        <w:rPr>
          <w:rFonts w:cstheme="minorHAnsi"/>
        </w:rPr>
      </w:pPr>
      <w:r>
        <w:rPr>
          <w:rFonts w:cstheme="minorHAnsi"/>
        </w:rPr>
        <w:t>İç ve dış paydaşların memnuniyetinin ölçümüne ilişkin sistem kurulmuş ve işletilmektedir. Fakat bu durumun yaygınlaşması ve alternatif kanalların kullanılması gelişime açık yön olarak değerlendirilmektedir.</w:t>
      </w:r>
    </w:p>
    <w:p w14:paraId="0A83E679" w14:textId="34E39A90" w:rsidR="007439F3" w:rsidRDefault="007439F3" w:rsidP="007439F3">
      <w:pPr>
        <w:pStyle w:val="ListeParagraf"/>
        <w:numPr>
          <w:ilvl w:val="0"/>
          <w:numId w:val="13"/>
        </w:numPr>
        <w:spacing w:after="0" w:line="276" w:lineRule="auto"/>
        <w:jc w:val="both"/>
        <w:rPr>
          <w:rFonts w:cstheme="minorHAnsi"/>
        </w:rPr>
      </w:pPr>
      <w:r>
        <w:rPr>
          <w:rFonts w:cstheme="minorHAnsi"/>
        </w:rPr>
        <w:t>Personelin web sayfasındaki bilgilerinin güncel olmayışı.</w:t>
      </w:r>
    </w:p>
    <w:p w14:paraId="2DD15919" w14:textId="4DB6458E" w:rsidR="00E96370" w:rsidRPr="004D46E6" w:rsidRDefault="00E96370" w:rsidP="007439F3">
      <w:pPr>
        <w:spacing w:after="0" w:line="276" w:lineRule="auto"/>
        <w:rPr>
          <w:rFonts w:cstheme="minorHAnsi"/>
        </w:rPr>
      </w:pPr>
    </w:p>
    <w:sectPr w:rsidR="00E96370" w:rsidRPr="004D46E6" w:rsidSect="0058745B">
      <w:headerReference w:type="default" r:id="rId8"/>
      <w:headerReference w:type="first" r:id="rId9"/>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2CCE2" w14:textId="77777777" w:rsidR="00355228" w:rsidRDefault="00355228" w:rsidP="0058745B">
      <w:pPr>
        <w:spacing w:after="0" w:line="240" w:lineRule="auto"/>
      </w:pPr>
      <w:r>
        <w:separator/>
      </w:r>
    </w:p>
  </w:endnote>
  <w:endnote w:type="continuationSeparator" w:id="0">
    <w:p w14:paraId="5F7AD352" w14:textId="77777777" w:rsidR="00355228" w:rsidRDefault="00355228" w:rsidP="00587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BC3A8" w14:textId="77777777" w:rsidR="00355228" w:rsidRDefault="00355228" w:rsidP="0058745B">
      <w:pPr>
        <w:spacing w:after="0" w:line="240" w:lineRule="auto"/>
      </w:pPr>
      <w:r>
        <w:separator/>
      </w:r>
    </w:p>
  </w:footnote>
  <w:footnote w:type="continuationSeparator" w:id="0">
    <w:p w14:paraId="30B96A9E" w14:textId="77777777" w:rsidR="00355228" w:rsidRDefault="00355228" w:rsidP="005874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39ABA" w14:textId="77777777" w:rsidR="00E96370" w:rsidRDefault="00E96370">
    <w:pPr>
      <w:pStyle w:val="stBilgi"/>
    </w:pPr>
    <w:r>
      <w:t>KALİTE KOORDİNATÖRLÜĞÜ, BİRİM İZLEME RAPORU (BİZR)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921D8" w14:textId="77777777" w:rsidR="0058745B" w:rsidRPr="0058745B" w:rsidRDefault="0058745B">
    <w:pPr>
      <w:pStyle w:val="stBilgi"/>
      <w:rPr>
        <w:sz w:val="32"/>
        <w:szCs w:val="32"/>
      </w:rPr>
    </w:pPr>
    <w:r w:rsidRPr="0058745B">
      <w:rPr>
        <w:noProof/>
        <w:sz w:val="32"/>
        <w:szCs w:val="32"/>
        <w:lang w:eastAsia="tr-TR"/>
      </w:rPr>
      <w:drawing>
        <wp:anchor distT="0" distB="0" distL="114300" distR="114300" simplePos="0" relativeHeight="251658240" behindDoc="0" locked="0" layoutInCell="1" allowOverlap="1" wp14:anchorId="5B9DC7D2" wp14:editId="4F079C74">
          <wp:simplePos x="0" y="0"/>
          <wp:positionH relativeFrom="column">
            <wp:posOffset>-209255</wp:posOffset>
          </wp:positionH>
          <wp:positionV relativeFrom="paragraph">
            <wp:posOffset>-24041</wp:posOffset>
          </wp:positionV>
          <wp:extent cx="627380" cy="659130"/>
          <wp:effectExtent l="0" t="0" r="1270" b="7620"/>
          <wp:wrapSquare wrapText="bothSides"/>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7380" cy="659130"/>
                  </a:xfrm>
                  <a:prstGeom prst="rect">
                    <a:avLst/>
                  </a:prstGeom>
                </pic:spPr>
              </pic:pic>
            </a:graphicData>
          </a:graphic>
          <wp14:sizeRelH relativeFrom="page">
            <wp14:pctWidth>0</wp14:pctWidth>
          </wp14:sizeRelH>
          <wp14:sizeRelV relativeFrom="page">
            <wp14:pctHeight>0</wp14:pctHeight>
          </wp14:sizeRelV>
        </wp:anchor>
      </w:drawing>
    </w:r>
    <w:r w:rsidRPr="0058745B">
      <w:rPr>
        <w:sz w:val="32"/>
        <w:szCs w:val="32"/>
      </w:rPr>
      <w:t>TOROS ÜNİVERSİTESİ</w:t>
    </w:r>
  </w:p>
  <w:p w14:paraId="4E342725" w14:textId="77777777" w:rsidR="0058745B" w:rsidRPr="0058745B" w:rsidRDefault="0058745B">
    <w:pPr>
      <w:pStyle w:val="stBilgi"/>
      <w:rPr>
        <w:sz w:val="32"/>
        <w:szCs w:val="32"/>
      </w:rPr>
    </w:pPr>
    <w:r w:rsidRPr="0058745B">
      <w:rPr>
        <w:sz w:val="32"/>
        <w:szCs w:val="32"/>
      </w:rPr>
      <w:t>KALİTE KOORDİNATÖRLÜĞÜ</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25382"/>
    <w:multiLevelType w:val="hybridMultilevel"/>
    <w:tmpl w:val="F9524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810751"/>
    <w:multiLevelType w:val="hybridMultilevel"/>
    <w:tmpl w:val="C2C225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E1951DC"/>
    <w:multiLevelType w:val="hybridMultilevel"/>
    <w:tmpl w:val="65585EF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223B68A1"/>
    <w:multiLevelType w:val="hybridMultilevel"/>
    <w:tmpl w:val="9B78C578"/>
    <w:lvl w:ilvl="0" w:tplc="43C43AC0">
      <w:start w:val="1"/>
      <w:numFmt w:val="decimal"/>
      <w:lvlText w:val="%1."/>
      <w:lvlJc w:val="left"/>
      <w:pPr>
        <w:ind w:left="720" w:hanging="360"/>
      </w:pPr>
      <w:rPr>
        <w:rFonts w:hint="default"/>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23F786B"/>
    <w:multiLevelType w:val="hybridMultilevel"/>
    <w:tmpl w:val="E02A2DF6"/>
    <w:lvl w:ilvl="0" w:tplc="041F0015">
      <w:start w:val="1"/>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2A2A5999"/>
    <w:multiLevelType w:val="hybridMultilevel"/>
    <w:tmpl w:val="2DF693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F016EE6"/>
    <w:multiLevelType w:val="hybridMultilevel"/>
    <w:tmpl w:val="0F58FA96"/>
    <w:lvl w:ilvl="0" w:tplc="C2F60F5E">
      <w:start w:val="1"/>
      <w:numFmt w:val="decimal"/>
      <w:lvlText w:val="%1."/>
      <w:lvlJc w:val="left"/>
      <w:pPr>
        <w:ind w:left="720" w:hanging="36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4997DE7"/>
    <w:multiLevelType w:val="hybridMultilevel"/>
    <w:tmpl w:val="B0180FB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4C5234AE"/>
    <w:multiLevelType w:val="hybridMultilevel"/>
    <w:tmpl w:val="72F6B2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12D6E22"/>
    <w:multiLevelType w:val="hybridMultilevel"/>
    <w:tmpl w:val="9ECA34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AEB258B"/>
    <w:multiLevelType w:val="hybridMultilevel"/>
    <w:tmpl w:val="17046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E4739C"/>
    <w:multiLevelType w:val="hybridMultilevel"/>
    <w:tmpl w:val="EC1A42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8325ECF"/>
    <w:multiLevelType w:val="hybridMultilevel"/>
    <w:tmpl w:val="09382860"/>
    <w:lvl w:ilvl="0" w:tplc="72B60ECC">
      <w:start w:val="1"/>
      <w:numFmt w:val="decimal"/>
      <w:lvlText w:val="%1."/>
      <w:lvlJc w:val="left"/>
      <w:pPr>
        <w:ind w:left="720" w:hanging="360"/>
      </w:pPr>
      <w:rPr>
        <w:rFonts w:eastAsia="Calibri"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727289932">
    <w:abstractNumId w:val="4"/>
  </w:num>
  <w:num w:numId="2" w16cid:durableId="2040468656">
    <w:abstractNumId w:val="2"/>
  </w:num>
  <w:num w:numId="3" w16cid:durableId="4937952">
    <w:abstractNumId w:val="0"/>
  </w:num>
  <w:num w:numId="4" w16cid:durableId="506290035">
    <w:abstractNumId w:val="3"/>
  </w:num>
  <w:num w:numId="5" w16cid:durableId="577054667">
    <w:abstractNumId w:val="12"/>
  </w:num>
  <w:num w:numId="6" w16cid:durableId="997805615">
    <w:abstractNumId w:val="6"/>
  </w:num>
  <w:num w:numId="7" w16cid:durableId="870648226">
    <w:abstractNumId w:val="10"/>
  </w:num>
  <w:num w:numId="8" w16cid:durableId="2054572060">
    <w:abstractNumId w:val="7"/>
  </w:num>
  <w:num w:numId="9" w16cid:durableId="754010168">
    <w:abstractNumId w:val="1"/>
  </w:num>
  <w:num w:numId="10" w16cid:durableId="1328049971">
    <w:abstractNumId w:val="5"/>
  </w:num>
  <w:num w:numId="11" w16cid:durableId="1149247925">
    <w:abstractNumId w:val="11"/>
  </w:num>
  <w:num w:numId="12" w16cid:durableId="412436523">
    <w:abstractNumId w:val="8"/>
  </w:num>
  <w:num w:numId="13" w16cid:durableId="1379159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45B"/>
    <w:rsid w:val="00091075"/>
    <w:rsid w:val="000E0A85"/>
    <w:rsid w:val="000E4934"/>
    <w:rsid w:val="00114F18"/>
    <w:rsid w:val="00183B77"/>
    <w:rsid w:val="001F70D9"/>
    <w:rsid w:val="00220B83"/>
    <w:rsid w:val="00234D17"/>
    <w:rsid w:val="00240BB6"/>
    <w:rsid w:val="002916FB"/>
    <w:rsid w:val="002937BC"/>
    <w:rsid w:val="002A3BA1"/>
    <w:rsid w:val="002D56E6"/>
    <w:rsid w:val="00321FA1"/>
    <w:rsid w:val="00355228"/>
    <w:rsid w:val="0037514E"/>
    <w:rsid w:val="003A0B97"/>
    <w:rsid w:val="003F18CF"/>
    <w:rsid w:val="0040418E"/>
    <w:rsid w:val="00425ABE"/>
    <w:rsid w:val="004374AA"/>
    <w:rsid w:val="00472A76"/>
    <w:rsid w:val="00476F75"/>
    <w:rsid w:val="004A442B"/>
    <w:rsid w:val="004D46E6"/>
    <w:rsid w:val="00531EFE"/>
    <w:rsid w:val="00534896"/>
    <w:rsid w:val="0058745B"/>
    <w:rsid w:val="005F1557"/>
    <w:rsid w:val="006376C0"/>
    <w:rsid w:val="00644311"/>
    <w:rsid w:val="00665886"/>
    <w:rsid w:val="00672CCB"/>
    <w:rsid w:val="006A4F1C"/>
    <w:rsid w:val="00715117"/>
    <w:rsid w:val="007439F3"/>
    <w:rsid w:val="00745EC2"/>
    <w:rsid w:val="00757E01"/>
    <w:rsid w:val="00821FEF"/>
    <w:rsid w:val="00830D59"/>
    <w:rsid w:val="00874011"/>
    <w:rsid w:val="008B04AD"/>
    <w:rsid w:val="008C1824"/>
    <w:rsid w:val="008C3731"/>
    <w:rsid w:val="00916EF9"/>
    <w:rsid w:val="009302FF"/>
    <w:rsid w:val="00933E2A"/>
    <w:rsid w:val="00960DAC"/>
    <w:rsid w:val="00967897"/>
    <w:rsid w:val="0097695C"/>
    <w:rsid w:val="009A2C83"/>
    <w:rsid w:val="00A452EA"/>
    <w:rsid w:val="00A64294"/>
    <w:rsid w:val="00A6685A"/>
    <w:rsid w:val="00A67609"/>
    <w:rsid w:val="00AC74B3"/>
    <w:rsid w:val="00BB2337"/>
    <w:rsid w:val="00C01C2A"/>
    <w:rsid w:val="00C16F76"/>
    <w:rsid w:val="00C75306"/>
    <w:rsid w:val="00D96870"/>
    <w:rsid w:val="00DA6D86"/>
    <w:rsid w:val="00E30FEE"/>
    <w:rsid w:val="00E40404"/>
    <w:rsid w:val="00E96370"/>
    <w:rsid w:val="00E97758"/>
    <w:rsid w:val="00EC1DA2"/>
    <w:rsid w:val="00EE4785"/>
    <w:rsid w:val="00F00332"/>
    <w:rsid w:val="00F1626B"/>
    <w:rsid w:val="00FA048B"/>
    <w:rsid w:val="00FB58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14677"/>
  <w15:chartTrackingRefBased/>
  <w15:docId w15:val="{6BFAD5DD-340F-434A-B8F8-8D74DD1E7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58745B"/>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58745B"/>
    <w:rPr>
      <w:rFonts w:eastAsiaTheme="minorEastAsia"/>
      <w:lang w:eastAsia="tr-TR"/>
    </w:rPr>
  </w:style>
  <w:style w:type="paragraph" w:styleId="stBilgi">
    <w:name w:val="header"/>
    <w:basedOn w:val="Normal"/>
    <w:link w:val="stBilgiChar"/>
    <w:uiPriority w:val="99"/>
    <w:unhideWhenUsed/>
    <w:rsid w:val="0058745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8745B"/>
  </w:style>
  <w:style w:type="paragraph" w:styleId="AltBilgi">
    <w:name w:val="footer"/>
    <w:basedOn w:val="Normal"/>
    <w:link w:val="AltBilgiChar"/>
    <w:uiPriority w:val="99"/>
    <w:unhideWhenUsed/>
    <w:rsid w:val="0058745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8745B"/>
  </w:style>
  <w:style w:type="paragraph" w:styleId="ListeParagraf">
    <w:name w:val="List Paragraph"/>
    <w:basedOn w:val="Normal"/>
    <w:uiPriority w:val="34"/>
    <w:qFormat/>
    <w:rsid w:val="00E96370"/>
    <w:pPr>
      <w:ind w:left="720"/>
      <w:contextualSpacing/>
    </w:pPr>
  </w:style>
  <w:style w:type="table" w:styleId="TabloKlavuzu">
    <w:name w:val="Table Grid"/>
    <w:basedOn w:val="NormalTablo"/>
    <w:uiPriority w:val="39"/>
    <w:rsid w:val="00437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Tablo7Renkli-Vurgu2">
    <w:name w:val="Grid Table 7 Colorful Accent 2"/>
    <w:basedOn w:val="NormalTablo"/>
    <w:uiPriority w:val="52"/>
    <w:rsid w:val="004374AA"/>
    <w:pPr>
      <w:spacing w:after="0" w:line="240" w:lineRule="auto"/>
    </w:pPr>
    <w:rPr>
      <w:color w:val="4A7B29" w:themeColor="accent2" w:themeShade="BF"/>
    </w:rPr>
    <w:tblPr>
      <w:tblStyleRowBandSize w:val="1"/>
      <w:tblStyleColBandSize w:val="1"/>
      <w:tblBorders>
        <w:top w:val="single" w:sz="4" w:space="0" w:color="9FD37C" w:themeColor="accent2" w:themeTint="99"/>
        <w:left w:val="single" w:sz="4" w:space="0" w:color="9FD37C" w:themeColor="accent2" w:themeTint="99"/>
        <w:bottom w:val="single" w:sz="4" w:space="0" w:color="9FD37C" w:themeColor="accent2" w:themeTint="99"/>
        <w:right w:val="single" w:sz="4" w:space="0" w:color="9FD37C" w:themeColor="accent2" w:themeTint="99"/>
        <w:insideH w:val="single" w:sz="4" w:space="0" w:color="9FD37C" w:themeColor="accent2" w:themeTint="99"/>
        <w:insideV w:val="single" w:sz="4" w:space="0" w:color="9FD37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0D3" w:themeFill="accent2" w:themeFillTint="33"/>
      </w:tcPr>
    </w:tblStylePr>
    <w:tblStylePr w:type="band1Horz">
      <w:tblPr/>
      <w:tcPr>
        <w:shd w:val="clear" w:color="auto" w:fill="DFF0D3" w:themeFill="accent2" w:themeFillTint="33"/>
      </w:tcPr>
    </w:tblStylePr>
    <w:tblStylePr w:type="neCell">
      <w:tblPr/>
      <w:tcPr>
        <w:tcBorders>
          <w:bottom w:val="single" w:sz="4" w:space="0" w:color="9FD37C" w:themeColor="accent2" w:themeTint="99"/>
        </w:tcBorders>
      </w:tcPr>
    </w:tblStylePr>
    <w:tblStylePr w:type="nwCell">
      <w:tblPr/>
      <w:tcPr>
        <w:tcBorders>
          <w:bottom w:val="single" w:sz="4" w:space="0" w:color="9FD37C" w:themeColor="accent2" w:themeTint="99"/>
        </w:tcBorders>
      </w:tcPr>
    </w:tblStylePr>
    <w:tblStylePr w:type="seCell">
      <w:tblPr/>
      <w:tcPr>
        <w:tcBorders>
          <w:top w:val="single" w:sz="4" w:space="0" w:color="9FD37C" w:themeColor="accent2" w:themeTint="99"/>
        </w:tcBorders>
      </w:tcPr>
    </w:tblStylePr>
    <w:tblStylePr w:type="swCell">
      <w:tblPr/>
      <w:tcPr>
        <w:tcBorders>
          <w:top w:val="single" w:sz="4" w:space="0" w:color="9FD37C" w:themeColor="accent2" w:themeTint="99"/>
        </w:tcBorders>
      </w:tcPr>
    </w:tblStylePr>
  </w:style>
  <w:style w:type="table" w:customStyle="1" w:styleId="KlavuzTablo7Renkli-Vurgu21">
    <w:name w:val="Kılavuz Tablo 7 Renkli - Vurgu 21"/>
    <w:basedOn w:val="NormalTablo"/>
    <w:uiPriority w:val="52"/>
    <w:rsid w:val="004D46E6"/>
    <w:pPr>
      <w:spacing w:after="0" w:line="240" w:lineRule="auto"/>
    </w:pPr>
    <w:rPr>
      <w:color w:val="4A7B29" w:themeColor="accent2" w:themeShade="BF"/>
    </w:rPr>
    <w:tblPr>
      <w:tblStyleRowBandSize w:val="1"/>
      <w:tblStyleColBandSize w:val="1"/>
      <w:tblBorders>
        <w:top w:val="single" w:sz="4" w:space="0" w:color="9FD37C" w:themeColor="accent2" w:themeTint="99"/>
        <w:left w:val="single" w:sz="4" w:space="0" w:color="9FD37C" w:themeColor="accent2" w:themeTint="99"/>
        <w:bottom w:val="single" w:sz="4" w:space="0" w:color="9FD37C" w:themeColor="accent2" w:themeTint="99"/>
        <w:right w:val="single" w:sz="4" w:space="0" w:color="9FD37C" w:themeColor="accent2" w:themeTint="99"/>
        <w:insideH w:val="single" w:sz="4" w:space="0" w:color="9FD37C" w:themeColor="accent2" w:themeTint="99"/>
        <w:insideV w:val="single" w:sz="4" w:space="0" w:color="9FD37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0D3" w:themeFill="accent2" w:themeFillTint="33"/>
      </w:tcPr>
    </w:tblStylePr>
    <w:tblStylePr w:type="band1Horz">
      <w:tblPr/>
      <w:tcPr>
        <w:shd w:val="clear" w:color="auto" w:fill="DFF0D3" w:themeFill="accent2" w:themeFillTint="33"/>
      </w:tcPr>
    </w:tblStylePr>
    <w:tblStylePr w:type="neCell">
      <w:tblPr/>
      <w:tcPr>
        <w:tcBorders>
          <w:bottom w:val="single" w:sz="4" w:space="0" w:color="9FD37C" w:themeColor="accent2" w:themeTint="99"/>
        </w:tcBorders>
      </w:tcPr>
    </w:tblStylePr>
    <w:tblStylePr w:type="nwCell">
      <w:tblPr/>
      <w:tcPr>
        <w:tcBorders>
          <w:bottom w:val="single" w:sz="4" w:space="0" w:color="9FD37C" w:themeColor="accent2" w:themeTint="99"/>
        </w:tcBorders>
      </w:tcPr>
    </w:tblStylePr>
    <w:tblStylePr w:type="seCell">
      <w:tblPr/>
      <w:tcPr>
        <w:tcBorders>
          <w:top w:val="single" w:sz="4" w:space="0" w:color="9FD37C" w:themeColor="accent2" w:themeTint="99"/>
        </w:tcBorders>
      </w:tcPr>
    </w:tblStylePr>
    <w:tblStylePr w:type="swCell">
      <w:tblPr/>
      <w:tcPr>
        <w:tcBorders>
          <w:top w:val="single" w:sz="4" w:space="0" w:color="9FD37C" w:themeColor="accent2" w:themeTint="99"/>
        </w:tcBorders>
      </w:tcPr>
    </w:tblStylePr>
  </w:style>
  <w:style w:type="character" w:customStyle="1" w:styleId="fontstyle01">
    <w:name w:val="fontstyle01"/>
    <w:basedOn w:val="VarsaylanParagrafYazTipi"/>
    <w:rsid w:val="004D46E6"/>
    <w:rPr>
      <w:rFonts w:ascii="Times New Roman" w:hAnsi="Times New Roman" w:cs="Times New Roman" w:hint="default"/>
      <w:b/>
      <w:bCs/>
      <w:i w:val="0"/>
      <w:iCs w:val="0"/>
      <w:color w:val="000000"/>
      <w:sz w:val="24"/>
      <w:szCs w:val="24"/>
    </w:rPr>
  </w:style>
  <w:style w:type="character" w:customStyle="1" w:styleId="fontstyle21">
    <w:name w:val="fontstyle21"/>
    <w:basedOn w:val="VarsaylanParagrafYazTipi"/>
    <w:rsid w:val="004D46E6"/>
    <w:rPr>
      <w:rFonts w:ascii="Times New Roman" w:hAnsi="Times New Roman" w:cs="Times New Roman" w:hint="default"/>
      <w:b w:val="0"/>
      <w:bCs w:val="0"/>
      <w:i w:val="0"/>
      <w:iCs w:val="0"/>
      <w:color w:val="000000"/>
      <w:sz w:val="24"/>
      <w:szCs w:val="24"/>
    </w:rPr>
  </w:style>
  <w:style w:type="paragraph" w:customStyle="1" w:styleId="Default">
    <w:name w:val="Default"/>
    <w:rsid w:val="000E0A85"/>
    <w:pPr>
      <w:autoSpaceDE w:val="0"/>
      <w:autoSpaceDN w:val="0"/>
      <w:adjustRightInd w:val="0"/>
      <w:spacing w:after="0" w:line="240" w:lineRule="auto"/>
    </w:pPr>
    <w:rPr>
      <w:rFonts w:ascii="Times New Roman" w:hAnsi="Times New Roman" w:cs="Times New Roman"/>
      <w:color w:val="000000"/>
      <w:sz w:val="24"/>
      <w:szCs w:val="24"/>
    </w:rPr>
  </w:style>
  <w:style w:type="table" w:styleId="KlavuzTablo6-Renkli-Vurgu5">
    <w:name w:val="Grid Table 6 Colorful Accent 5"/>
    <w:basedOn w:val="NormalTablo"/>
    <w:uiPriority w:val="51"/>
    <w:rsid w:val="008C3731"/>
    <w:pPr>
      <w:spacing w:after="0" w:line="240" w:lineRule="auto"/>
    </w:pPr>
    <w:rPr>
      <w:color w:val="2D8CA7" w:themeColor="accent5" w:themeShade="BF"/>
    </w:rPr>
    <w:tblPr>
      <w:tblStyleRowBandSize w:val="1"/>
      <w:tblStyleColBandSize w:val="1"/>
      <w:tblBorders>
        <w:top w:val="single" w:sz="4" w:space="0" w:color="94D1E2" w:themeColor="accent5" w:themeTint="99"/>
        <w:left w:val="single" w:sz="4" w:space="0" w:color="94D1E2" w:themeColor="accent5" w:themeTint="99"/>
        <w:bottom w:val="single" w:sz="4" w:space="0" w:color="94D1E2" w:themeColor="accent5" w:themeTint="99"/>
        <w:right w:val="single" w:sz="4" w:space="0" w:color="94D1E2" w:themeColor="accent5" w:themeTint="99"/>
        <w:insideH w:val="single" w:sz="4" w:space="0" w:color="94D1E2" w:themeColor="accent5" w:themeTint="99"/>
        <w:insideV w:val="single" w:sz="4" w:space="0" w:color="94D1E2" w:themeColor="accent5" w:themeTint="99"/>
      </w:tblBorders>
    </w:tblPr>
    <w:tblStylePr w:type="firstRow">
      <w:rPr>
        <w:b/>
        <w:bCs/>
      </w:rPr>
      <w:tblPr/>
      <w:tcPr>
        <w:tcBorders>
          <w:bottom w:val="single" w:sz="12" w:space="0" w:color="94D1E2" w:themeColor="accent5" w:themeTint="99"/>
        </w:tcBorders>
      </w:tcPr>
    </w:tblStylePr>
    <w:tblStylePr w:type="lastRow">
      <w:rPr>
        <w:b/>
        <w:bCs/>
      </w:rPr>
      <w:tblPr/>
      <w:tcPr>
        <w:tcBorders>
          <w:top w:val="double" w:sz="4" w:space="0" w:color="94D1E2" w:themeColor="accent5" w:themeTint="99"/>
        </w:tcBorders>
      </w:tcPr>
    </w:tblStylePr>
    <w:tblStylePr w:type="firstCol">
      <w:rPr>
        <w:b/>
        <w:bCs/>
      </w:rPr>
    </w:tblStylePr>
    <w:tblStylePr w:type="lastCol">
      <w:rPr>
        <w:b/>
        <w:bCs/>
      </w:rPr>
    </w:tblStylePr>
    <w:tblStylePr w:type="band1Vert">
      <w:tblPr/>
      <w:tcPr>
        <w:shd w:val="clear" w:color="auto" w:fill="DBEFF5" w:themeFill="accent5" w:themeFillTint="33"/>
      </w:tcPr>
    </w:tblStylePr>
    <w:tblStylePr w:type="band1Horz">
      <w:tblPr/>
      <w:tcPr>
        <w:shd w:val="clear" w:color="auto" w:fill="DBEFF5" w:themeFill="accent5" w:themeFillTint="33"/>
      </w:tcPr>
    </w:tblStylePr>
  </w:style>
  <w:style w:type="table" w:styleId="KlavuzTablo6Renkli-Vurgu1">
    <w:name w:val="Grid Table 6 Colorful Accent 1"/>
    <w:basedOn w:val="NormalTablo"/>
    <w:uiPriority w:val="51"/>
    <w:rsid w:val="008C3731"/>
    <w:pPr>
      <w:spacing w:after="0" w:line="240" w:lineRule="auto"/>
    </w:pPr>
    <w:rPr>
      <w:color w:val="729928" w:themeColor="accent1" w:themeShade="BF"/>
    </w:rPr>
    <w:tblPr>
      <w:tblStyleRowBandSize w:val="1"/>
      <w:tblStyleColBandSize w:val="1"/>
      <w:tblBorders>
        <w:top w:val="single" w:sz="4" w:space="0" w:color="C1DF87" w:themeColor="accent1" w:themeTint="99"/>
        <w:left w:val="single" w:sz="4" w:space="0" w:color="C1DF87" w:themeColor="accent1" w:themeTint="99"/>
        <w:bottom w:val="single" w:sz="4" w:space="0" w:color="C1DF87" w:themeColor="accent1" w:themeTint="99"/>
        <w:right w:val="single" w:sz="4" w:space="0" w:color="C1DF87" w:themeColor="accent1" w:themeTint="99"/>
        <w:insideH w:val="single" w:sz="4" w:space="0" w:color="C1DF87" w:themeColor="accent1" w:themeTint="99"/>
        <w:insideV w:val="single" w:sz="4" w:space="0" w:color="C1DF87" w:themeColor="accent1" w:themeTint="99"/>
      </w:tblBorders>
    </w:tblPr>
    <w:tblStylePr w:type="firstRow">
      <w:rPr>
        <w:b/>
        <w:bCs/>
      </w:rPr>
      <w:tblPr/>
      <w:tcPr>
        <w:tcBorders>
          <w:bottom w:val="single" w:sz="12" w:space="0" w:color="C1DF87" w:themeColor="accent1" w:themeTint="99"/>
        </w:tcBorders>
      </w:tcPr>
    </w:tblStylePr>
    <w:tblStylePr w:type="lastRow">
      <w:rPr>
        <w:b/>
        <w:bCs/>
      </w:rPr>
      <w:tblPr/>
      <w:tcPr>
        <w:tcBorders>
          <w:top w:val="double" w:sz="4" w:space="0" w:color="C1DF87" w:themeColor="accent1" w:themeTint="99"/>
        </w:tcBorders>
      </w:tcPr>
    </w:tblStylePr>
    <w:tblStylePr w:type="firstCol">
      <w:rPr>
        <w:b/>
        <w:bCs/>
      </w:rPr>
    </w:tblStylePr>
    <w:tblStylePr w:type="lastCol">
      <w:rPr>
        <w:b/>
        <w:bCs/>
      </w:rPr>
    </w:tblStylePr>
    <w:tblStylePr w:type="band1Vert">
      <w:tblPr/>
      <w:tcPr>
        <w:shd w:val="clear" w:color="auto" w:fill="EAF4D7" w:themeFill="accent1" w:themeFillTint="33"/>
      </w:tcPr>
    </w:tblStylePr>
    <w:tblStylePr w:type="band1Horz">
      <w:tblPr/>
      <w:tcPr>
        <w:shd w:val="clear" w:color="auto" w:fill="EAF4D7" w:themeFill="accent1" w:themeFillTint="33"/>
      </w:tcPr>
    </w:tblStylePr>
  </w:style>
  <w:style w:type="table" w:styleId="KlavuzTablo7Renkli-Vurgu1">
    <w:name w:val="Grid Table 7 Colorful Accent 1"/>
    <w:basedOn w:val="NormalTablo"/>
    <w:uiPriority w:val="52"/>
    <w:rsid w:val="008C3731"/>
    <w:pPr>
      <w:spacing w:after="0" w:line="240" w:lineRule="auto"/>
    </w:pPr>
    <w:rPr>
      <w:color w:val="729928" w:themeColor="accent1" w:themeShade="BF"/>
    </w:rPr>
    <w:tblPr>
      <w:tblStyleRowBandSize w:val="1"/>
      <w:tblStyleColBandSize w:val="1"/>
      <w:tblBorders>
        <w:top w:val="single" w:sz="4" w:space="0" w:color="C1DF87" w:themeColor="accent1" w:themeTint="99"/>
        <w:left w:val="single" w:sz="4" w:space="0" w:color="C1DF87" w:themeColor="accent1" w:themeTint="99"/>
        <w:bottom w:val="single" w:sz="4" w:space="0" w:color="C1DF87" w:themeColor="accent1" w:themeTint="99"/>
        <w:right w:val="single" w:sz="4" w:space="0" w:color="C1DF87" w:themeColor="accent1" w:themeTint="99"/>
        <w:insideH w:val="single" w:sz="4" w:space="0" w:color="C1DF87" w:themeColor="accent1" w:themeTint="99"/>
        <w:insideV w:val="single" w:sz="4" w:space="0" w:color="C1DF8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4D7" w:themeFill="accent1" w:themeFillTint="33"/>
      </w:tcPr>
    </w:tblStylePr>
    <w:tblStylePr w:type="band1Horz">
      <w:tblPr/>
      <w:tcPr>
        <w:shd w:val="clear" w:color="auto" w:fill="EAF4D7" w:themeFill="accent1" w:themeFillTint="33"/>
      </w:tcPr>
    </w:tblStylePr>
    <w:tblStylePr w:type="neCell">
      <w:tblPr/>
      <w:tcPr>
        <w:tcBorders>
          <w:bottom w:val="single" w:sz="4" w:space="0" w:color="C1DF87" w:themeColor="accent1" w:themeTint="99"/>
        </w:tcBorders>
      </w:tcPr>
    </w:tblStylePr>
    <w:tblStylePr w:type="nwCell">
      <w:tblPr/>
      <w:tcPr>
        <w:tcBorders>
          <w:bottom w:val="single" w:sz="4" w:space="0" w:color="C1DF87" w:themeColor="accent1" w:themeTint="99"/>
        </w:tcBorders>
      </w:tcPr>
    </w:tblStylePr>
    <w:tblStylePr w:type="seCell">
      <w:tblPr/>
      <w:tcPr>
        <w:tcBorders>
          <w:top w:val="single" w:sz="4" w:space="0" w:color="C1DF87" w:themeColor="accent1" w:themeTint="99"/>
        </w:tcBorders>
      </w:tcPr>
    </w:tblStylePr>
    <w:tblStylePr w:type="swCell">
      <w:tblPr/>
      <w:tcPr>
        <w:tcBorders>
          <w:top w:val="single" w:sz="4" w:space="0" w:color="C1DF87" w:themeColor="accent1" w:themeTint="99"/>
        </w:tcBorders>
      </w:tcPr>
    </w:tblStylePr>
  </w:style>
  <w:style w:type="table" w:styleId="KlavuzTablo6Renkli-Vurgu6">
    <w:name w:val="Grid Table 6 Colorful Accent 6"/>
    <w:basedOn w:val="NormalTablo"/>
    <w:uiPriority w:val="51"/>
    <w:rsid w:val="008C3731"/>
    <w:pPr>
      <w:spacing w:after="0" w:line="240" w:lineRule="auto"/>
    </w:pPr>
    <w:rPr>
      <w:color w:val="08A4EE" w:themeColor="accent6" w:themeShade="BF"/>
    </w:rPr>
    <w:tblPr>
      <w:tblStyleRowBandSize w:val="1"/>
      <w:tblStyleColBandSize w:val="1"/>
      <w:tblBorders>
        <w:top w:val="single" w:sz="4" w:space="0" w:color="96DBFB" w:themeColor="accent6" w:themeTint="99"/>
        <w:left w:val="single" w:sz="4" w:space="0" w:color="96DBFB" w:themeColor="accent6" w:themeTint="99"/>
        <w:bottom w:val="single" w:sz="4" w:space="0" w:color="96DBFB" w:themeColor="accent6" w:themeTint="99"/>
        <w:right w:val="single" w:sz="4" w:space="0" w:color="96DBFB" w:themeColor="accent6" w:themeTint="99"/>
        <w:insideH w:val="single" w:sz="4" w:space="0" w:color="96DBFB" w:themeColor="accent6" w:themeTint="99"/>
        <w:insideV w:val="single" w:sz="4" w:space="0" w:color="96DBFB" w:themeColor="accent6" w:themeTint="99"/>
      </w:tblBorders>
    </w:tblPr>
    <w:tblStylePr w:type="firstRow">
      <w:rPr>
        <w:b/>
        <w:bCs/>
      </w:rPr>
      <w:tblPr/>
      <w:tcPr>
        <w:tcBorders>
          <w:bottom w:val="single" w:sz="12" w:space="0" w:color="96DBFB" w:themeColor="accent6" w:themeTint="99"/>
        </w:tcBorders>
      </w:tcPr>
    </w:tblStylePr>
    <w:tblStylePr w:type="lastRow">
      <w:rPr>
        <w:b/>
        <w:bCs/>
      </w:rPr>
      <w:tblPr/>
      <w:tcPr>
        <w:tcBorders>
          <w:top w:val="double" w:sz="4" w:space="0" w:color="96DBFB" w:themeColor="accent6" w:themeTint="99"/>
        </w:tcBorders>
      </w:tcPr>
    </w:tblStylePr>
    <w:tblStylePr w:type="firstCol">
      <w:rPr>
        <w:b/>
        <w:bCs/>
      </w:rPr>
    </w:tblStylePr>
    <w:tblStylePr w:type="lastCol">
      <w:rPr>
        <w:b/>
        <w:bCs/>
      </w:rPr>
    </w:tblStylePr>
    <w:tblStylePr w:type="band1Vert">
      <w:tblPr/>
      <w:tcPr>
        <w:shd w:val="clear" w:color="auto" w:fill="DCF3FD" w:themeFill="accent6" w:themeFillTint="33"/>
      </w:tcPr>
    </w:tblStylePr>
    <w:tblStylePr w:type="band1Horz">
      <w:tblPr/>
      <w:tcPr>
        <w:shd w:val="clear" w:color="auto" w:fill="DCF3FD" w:themeFill="accent6" w:themeFillTint="33"/>
      </w:tcPr>
    </w:tblStylePr>
  </w:style>
  <w:style w:type="table" w:styleId="KlavuzTablo2-Vurgu1">
    <w:name w:val="Grid Table 2 Accent 1"/>
    <w:basedOn w:val="NormalTablo"/>
    <w:uiPriority w:val="47"/>
    <w:rsid w:val="002A3BA1"/>
    <w:pPr>
      <w:spacing w:after="0" w:line="240" w:lineRule="auto"/>
    </w:pPr>
    <w:tblPr>
      <w:tblStyleRowBandSize w:val="1"/>
      <w:tblStyleColBandSize w:val="1"/>
      <w:tblBorders>
        <w:top w:val="single" w:sz="2" w:space="0" w:color="C1DF87" w:themeColor="accent1" w:themeTint="99"/>
        <w:bottom w:val="single" w:sz="2" w:space="0" w:color="C1DF87" w:themeColor="accent1" w:themeTint="99"/>
        <w:insideH w:val="single" w:sz="2" w:space="0" w:color="C1DF87" w:themeColor="accent1" w:themeTint="99"/>
        <w:insideV w:val="single" w:sz="2" w:space="0" w:color="C1DF87" w:themeColor="accent1" w:themeTint="99"/>
      </w:tblBorders>
    </w:tblPr>
    <w:tblStylePr w:type="firstRow">
      <w:rPr>
        <w:b/>
        <w:bCs/>
      </w:rPr>
      <w:tblPr/>
      <w:tcPr>
        <w:tcBorders>
          <w:top w:val="nil"/>
          <w:bottom w:val="single" w:sz="12" w:space="0" w:color="C1DF87" w:themeColor="accent1" w:themeTint="99"/>
          <w:insideH w:val="nil"/>
          <w:insideV w:val="nil"/>
        </w:tcBorders>
        <w:shd w:val="clear" w:color="auto" w:fill="FFFFFF" w:themeFill="background1"/>
      </w:tcPr>
    </w:tblStylePr>
    <w:tblStylePr w:type="lastRow">
      <w:rPr>
        <w:b/>
        <w:bCs/>
      </w:rPr>
      <w:tblPr/>
      <w:tcPr>
        <w:tcBorders>
          <w:top w:val="double" w:sz="2" w:space="0" w:color="C1DF8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4D7" w:themeFill="accent1" w:themeFillTint="33"/>
      </w:tcPr>
    </w:tblStylePr>
    <w:tblStylePr w:type="band1Horz">
      <w:tblPr/>
      <w:tcPr>
        <w:shd w:val="clear" w:color="auto" w:fill="EAF4D7" w:themeFill="accent1" w:themeFillTint="33"/>
      </w:tcPr>
    </w:tblStylePr>
  </w:style>
  <w:style w:type="table" w:styleId="KlavuzTablo2-Vurgu2">
    <w:name w:val="Grid Table 2 Accent 2"/>
    <w:basedOn w:val="NormalTablo"/>
    <w:uiPriority w:val="47"/>
    <w:rsid w:val="002A3BA1"/>
    <w:pPr>
      <w:spacing w:after="0" w:line="240" w:lineRule="auto"/>
    </w:pPr>
    <w:tblPr>
      <w:tblStyleRowBandSize w:val="1"/>
      <w:tblStyleColBandSize w:val="1"/>
      <w:tblBorders>
        <w:top w:val="single" w:sz="2" w:space="0" w:color="9FD37C" w:themeColor="accent2" w:themeTint="99"/>
        <w:bottom w:val="single" w:sz="2" w:space="0" w:color="9FD37C" w:themeColor="accent2" w:themeTint="99"/>
        <w:insideH w:val="single" w:sz="2" w:space="0" w:color="9FD37C" w:themeColor="accent2" w:themeTint="99"/>
        <w:insideV w:val="single" w:sz="2" w:space="0" w:color="9FD37C" w:themeColor="accent2" w:themeTint="99"/>
      </w:tblBorders>
    </w:tblPr>
    <w:tblStylePr w:type="firstRow">
      <w:rPr>
        <w:b/>
        <w:bCs/>
      </w:rPr>
      <w:tblPr/>
      <w:tcPr>
        <w:tcBorders>
          <w:top w:val="nil"/>
          <w:bottom w:val="single" w:sz="12" w:space="0" w:color="9FD37C" w:themeColor="accent2" w:themeTint="99"/>
          <w:insideH w:val="nil"/>
          <w:insideV w:val="nil"/>
        </w:tcBorders>
        <w:shd w:val="clear" w:color="auto" w:fill="FFFFFF" w:themeFill="background1"/>
      </w:tcPr>
    </w:tblStylePr>
    <w:tblStylePr w:type="lastRow">
      <w:rPr>
        <w:b/>
        <w:bCs/>
      </w:rPr>
      <w:tblPr/>
      <w:tcPr>
        <w:tcBorders>
          <w:top w:val="double" w:sz="2" w:space="0" w:color="9FD37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0D3" w:themeFill="accent2" w:themeFillTint="33"/>
      </w:tcPr>
    </w:tblStylePr>
    <w:tblStylePr w:type="band1Horz">
      <w:tblPr/>
      <w:tcPr>
        <w:shd w:val="clear" w:color="auto" w:fill="DFF0D3" w:themeFill="accent2" w:themeFillTint="33"/>
      </w:tcPr>
    </w:tblStylePr>
  </w:style>
  <w:style w:type="table" w:styleId="ListeTablo1Ak-Vurgu2">
    <w:name w:val="List Table 1 Light Accent 2"/>
    <w:basedOn w:val="NormalTablo"/>
    <w:uiPriority w:val="46"/>
    <w:rsid w:val="00DA6D86"/>
    <w:pPr>
      <w:spacing w:after="0" w:line="240" w:lineRule="auto"/>
    </w:pPr>
    <w:tblPr>
      <w:tblStyleRowBandSize w:val="1"/>
      <w:tblStyleColBandSize w:val="1"/>
    </w:tblPr>
    <w:tblStylePr w:type="firstRow">
      <w:rPr>
        <w:b/>
        <w:bCs/>
      </w:rPr>
      <w:tblPr/>
      <w:tcPr>
        <w:tcBorders>
          <w:bottom w:val="single" w:sz="4" w:space="0" w:color="9FD37C" w:themeColor="accent2" w:themeTint="99"/>
        </w:tcBorders>
      </w:tcPr>
    </w:tblStylePr>
    <w:tblStylePr w:type="lastRow">
      <w:rPr>
        <w:b/>
        <w:bCs/>
      </w:rPr>
      <w:tblPr/>
      <w:tcPr>
        <w:tcBorders>
          <w:top w:val="single" w:sz="4" w:space="0" w:color="9FD37C" w:themeColor="accent2" w:themeTint="99"/>
        </w:tcBorders>
      </w:tcPr>
    </w:tblStylePr>
    <w:tblStylePr w:type="firstCol">
      <w:rPr>
        <w:b/>
        <w:bCs/>
      </w:rPr>
    </w:tblStylePr>
    <w:tblStylePr w:type="lastCol">
      <w:rPr>
        <w:b/>
        <w:bCs/>
      </w:rPr>
    </w:tblStylePr>
    <w:tblStylePr w:type="band1Vert">
      <w:tblPr/>
      <w:tcPr>
        <w:shd w:val="clear" w:color="auto" w:fill="DFF0D3" w:themeFill="accent2" w:themeFillTint="33"/>
      </w:tcPr>
    </w:tblStylePr>
    <w:tblStylePr w:type="band1Horz">
      <w:tblPr/>
      <w:tcPr>
        <w:shd w:val="clear" w:color="auto" w:fill="DFF0D3" w:themeFill="accent2" w:themeFillTint="33"/>
      </w:tcPr>
    </w:tblStylePr>
  </w:style>
  <w:style w:type="table" w:styleId="KlavuzTablo6-Renkli-Vurgu2">
    <w:name w:val="Grid Table 6 Colorful Accent 2"/>
    <w:basedOn w:val="NormalTablo"/>
    <w:uiPriority w:val="51"/>
    <w:rsid w:val="00DA6D86"/>
    <w:pPr>
      <w:spacing w:after="0" w:line="240" w:lineRule="auto"/>
    </w:pPr>
    <w:rPr>
      <w:color w:val="4A7B29" w:themeColor="accent2" w:themeShade="BF"/>
    </w:rPr>
    <w:tblPr>
      <w:tblStyleRowBandSize w:val="1"/>
      <w:tblStyleColBandSize w:val="1"/>
      <w:tblBorders>
        <w:top w:val="single" w:sz="4" w:space="0" w:color="9FD37C" w:themeColor="accent2" w:themeTint="99"/>
        <w:left w:val="single" w:sz="4" w:space="0" w:color="9FD37C" w:themeColor="accent2" w:themeTint="99"/>
        <w:bottom w:val="single" w:sz="4" w:space="0" w:color="9FD37C" w:themeColor="accent2" w:themeTint="99"/>
        <w:right w:val="single" w:sz="4" w:space="0" w:color="9FD37C" w:themeColor="accent2" w:themeTint="99"/>
        <w:insideH w:val="single" w:sz="4" w:space="0" w:color="9FD37C" w:themeColor="accent2" w:themeTint="99"/>
        <w:insideV w:val="single" w:sz="4" w:space="0" w:color="9FD37C" w:themeColor="accent2" w:themeTint="99"/>
      </w:tblBorders>
    </w:tblPr>
    <w:tblStylePr w:type="firstRow">
      <w:rPr>
        <w:b/>
        <w:bCs/>
      </w:rPr>
      <w:tblPr/>
      <w:tcPr>
        <w:tcBorders>
          <w:bottom w:val="single" w:sz="12" w:space="0" w:color="9FD37C" w:themeColor="accent2" w:themeTint="99"/>
        </w:tcBorders>
      </w:tcPr>
    </w:tblStylePr>
    <w:tblStylePr w:type="lastRow">
      <w:rPr>
        <w:b/>
        <w:bCs/>
      </w:rPr>
      <w:tblPr/>
      <w:tcPr>
        <w:tcBorders>
          <w:top w:val="double" w:sz="4" w:space="0" w:color="9FD37C" w:themeColor="accent2" w:themeTint="99"/>
        </w:tcBorders>
      </w:tcPr>
    </w:tblStylePr>
    <w:tblStylePr w:type="firstCol">
      <w:rPr>
        <w:b/>
        <w:bCs/>
      </w:rPr>
    </w:tblStylePr>
    <w:tblStylePr w:type="lastCol">
      <w:rPr>
        <w:b/>
        <w:bCs/>
      </w:rPr>
    </w:tblStylePr>
    <w:tblStylePr w:type="band1Vert">
      <w:tblPr/>
      <w:tcPr>
        <w:shd w:val="clear" w:color="auto" w:fill="DFF0D3" w:themeFill="accent2" w:themeFillTint="33"/>
      </w:tcPr>
    </w:tblStylePr>
    <w:tblStylePr w:type="band1Horz">
      <w:tblPr/>
      <w:tcPr>
        <w:shd w:val="clear" w:color="auto" w:fill="DFF0D3" w:themeFill="accent2" w:themeFillTint="33"/>
      </w:tcPr>
    </w:tblStylePr>
  </w:style>
  <w:style w:type="table" w:styleId="KlavuzTablo2-Vurgu6">
    <w:name w:val="Grid Table 2 Accent 6"/>
    <w:basedOn w:val="NormalTablo"/>
    <w:uiPriority w:val="47"/>
    <w:rsid w:val="00D96870"/>
    <w:pPr>
      <w:spacing w:after="0" w:line="240" w:lineRule="auto"/>
    </w:pPr>
    <w:tblPr>
      <w:tblStyleRowBandSize w:val="1"/>
      <w:tblStyleColBandSize w:val="1"/>
      <w:tblBorders>
        <w:top w:val="single" w:sz="2" w:space="0" w:color="96DBFB" w:themeColor="accent6" w:themeTint="99"/>
        <w:bottom w:val="single" w:sz="2" w:space="0" w:color="96DBFB" w:themeColor="accent6" w:themeTint="99"/>
        <w:insideH w:val="single" w:sz="2" w:space="0" w:color="96DBFB" w:themeColor="accent6" w:themeTint="99"/>
        <w:insideV w:val="single" w:sz="2" w:space="0" w:color="96DBFB" w:themeColor="accent6" w:themeTint="99"/>
      </w:tblBorders>
    </w:tblPr>
    <w:tblStylePr w:type="firstRow">
      <w:rPr>
        <w:b/>
        <w:bCs/>
      </w:rPr>
      <w:tblPr/>
      <w:tcPr>
        <w:tcBorders>
          <w:top w:val="nil"/>
          <w:bottom w:val="single" w:sz="12" w:space="0" w:color="96DBFB" w:themeColor="accent6" w:themeTint="99"/>
          <w:insideH w:val="nil"/>
          <w:insideV w:val="nil"/>
        </w:tcBorders>
        <w:shd w:val="clear" w:color="auto" w:fill="FFFFFF" w:themeFill="background1"/>
      </w:tcPr>
    </w:tblStylePr>
    <w:tblStylePr w:type="lastRow">
      <w:rPr>
        <w:b/>
        <w:bCs/>
      </w:rPr>
      <w:tblPr/>
      <w:tcPr>
        <w:tcBorders>
          <w:top w:val="double" w:sz="2" w:space="0" w:color="96DBF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F3FD" w:themeFill="accent6" w:themeFillTint="33"/>
      </w:tcPr>
    </w:tblStylePr>
    <w:tblStylePr w:type="band1Horz">
      <w:tblPr/>
      <w:tcPr>
        <w:shd w:val="clear" w:color="auto" w:fill="DCF3FD"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Yeşil Sarı">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08502-3A1B-40C8-886B-45FC66E92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4167</Words>
  <Characters>23758</Characters>
  <Application>Microsoft Office Word</Application>
  <DocSecurity>0</DocSecurity>
  <Lines>197</Lines>
  <Paragraphs>55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Rektörlük</dc:creator>
  <cp:keywords/>
  <dc:description/>
  <cp:lastModifiedBy>havva keklik</cp:lastModifiedBy>
  <cp:revision>2</cp:revision>
  <dcterms:created xsi:type="dcterms:W3CDTF">2022-05-17T11:48:00Z</dcterms:created>
  <dcterms:modified xsi:type="dcterms:W3CDTF">2022-05-17T11:48:00Z</dcterms:modified>
</cp:coreProperties>
</file>