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A8" w:rsidRDefault="005279A8">
      <w:pPr>
        <w:spacing w:line="240" w:lineRule="auto"/>
        <w:jc w:val="center"/>
        <w:rPr>
          <w:b/>
        </w:rPr>
      </w:pPr>
      <w:bookmarkStart w:id="0" w:name="_heading=h.gjdgxs" w:colFirst="0" w:colLast="0"/>
      <w:bookmarkEnd w:id="0"/>
    </w:p>
    <w:p w:rsidR="005279A8" w:rsidRDefault="005279A8">
      <w:pPr>
        <w:spacing w:line="240" w:lineRule="auto"/>
        <w:jc w:val="center"/>
        <w:rPr>
          <w:b/>
        </w:rPr>
      </w:pPr>
    </w:p>
    <w:p w:rsidR="005279A8" w:rsidRDefault="005279A8">
      <w:pPr>
        <w:spacing w:line="240" w:lineRule="auto"/>
        <w:jc w:val="center"/>
        <w:rPr>
          <w:b/>
        </w:rPr>
      </w:pPr>
    </w:p>
    <w:p w:rsidR="005279A8" w:rsidRDefault="005279A8">
      <w:pPr>
        <w:spacing w:line="240" w:lineRule="auto"/>
        <w:jc w:val="center"/>
        <w:rPr>
          <w:b/>
        </w:rPr>
      </w:pPr>
    </w:p>
    <w:p w:rsidR="005279A8" w:rsidRDefault="005279A8">
      <w:pPr>
        <w:spacing w:line="240" w:lineRule="auto"/>
        <w:jc w:val="center"/>
        <w:rPr>
          <w:b/>
        </w:rPr>
      </w:pPr>
    </w:p>
    <w:p w:rsidR="005279A8" w:rsidRDefault="005279A8">
      <w:pPr>
        <w:spacing w:line="240" w:lineRule="auto"/>
        <w:jc w:val="center"/>
        <w:rPr>
          <w:b/>
        </w:rPr>
      </w:pPr>
    </w:p>
    <w:p w:rsidR="005279A8" w:rsidRDefault="005279A8">
      <w:pPr>
        <w:spacing w:line="240" w:lineRule="auto"/>
        <w:jc w:val="center"/>
        <w:rPr>
          <w:b/>
        </w:rPr>
      </w:pPr>
    </w:p>
    <w:p w:rsidR="005279A8" w:rsidRDefault="00A1390C">
      <w:pPr>
        <w:spacing w:line="240" w:lineRule="auto"/>
        <w:jc w:val="center"/>
        <w:rPr>
          <w:b/>
        </w:rPr>
      </w:pPr>
      <w:r>
        <w:rPr>
          <w:b/>
        </w:rPr>
        <w:t>GÜZEL SANATLAR TASARIM ve MİMARLIK FAKÜLTESİ</w:t>
      </w:r>
    </w:p>
    <w:p w:rsidR="005279A8" w:rsidRDefault="00A1390C">
      <w:pPr>
        <w:spacing w:line="240" w:lineRule="auto"/>
        <w:jc w:val="center"/>
        <w:rPr>
          <w:b/>
        </w:rPr>
      </w:pPr>
      <w:r>
        <w:rPr>
          <w:b/>
        </w:rPr>
        <w:t xml:space="preserve"> GERİ BİLDİRİM RAPORU [BGBR]</w:t>
      </w:r>
    </w:p>
    <w:p w:rsidR="005279A8" w:rsidRDefault="005279A8">
      <w:pPr>
        <w:spacing w:line="240" w:lineRule="auto"/>
        <w:jc w:val="center"/>
        <w:rPr>
          <w:b/>
        </w:rPr>
      </w:pPr>
    </w:p>
    <w:p w:rsidR="005279A8" w:rsidRDefault="005279A8">
      <w:pPr>
        <w:spacing w:line="240" w:lineRule="auto"/>
        <w:jc w:val="center"/>
        <w:rPr>
          <w:b/>
        </w:rPr>
      </w:pPr>
    </w:p>
    <w:p w:rsidR="005279A8" w:rsidRDefault="005279A8">
      <w:pPr>
        <w:spacing w:line="240" w:lineRule="auto"/>
        <w:jc w:val="center"/>
        <w:rPr>
          <w:b/>
        </w:rPr>
      </w:pPr>
    </w:p>
    <w:p w:rsidR="005279A8" w:rsidRDefault="005279A8">
      <w:pPr>
        <w:spacing w:line="240" w:lineRule="auto"/>
        <w:jc w:val="center"/>
        <w:rPr>
          <w:b/>
        </w:rPr>
      </w:pPr>
    </w:p>
    <w:p w:rsidR="005279A8" w:rsidRDefault="005279A8">
      <w:pPr>
        <w:spacing w:line="240" w:lineRule="auto"/>
        <w:jc w:val="center"/>
        <w:rPr>
          <w:b/>
        </w:rPr>
      </w:pPr>
    </w:p>
    <w:p w:rsidR="005279A8" w:rsidRDefault="005279A8">
      <w:pPr>
        <w:spacing w:line="240" w:lineRule="auto"/>
        <w:jc w:val="center"/>
        <w:rPr>
          <w:b/>
        </w:rPr>
      </w:pPr>
    </w:p>
    <w:p w:rsidR="005279A8" w:rsidRDefault="00A1390C">
      <w:pPr>
        <w:spacing w:line="240" w:lineRule="auto"/>
        <w:jc w:val="center"/>
        <w:rPr>
          <w:b/>
        </w:rPr>
      </w:pPr>
      <w:r>
        <w:rPr>
          <w:b/>
        </w:rPr>
        <w:t>DEĞERLENDİRME TAKIMI</w:t>
      </w:r>
    </w:p>
    <w:p w:rsidR="005279A8" w:rsidRDefault="00A1390C">
      <w:pPr>
        <w:spacing w:line="240" w:lineRule="auto"/>
        <w:jc w:val="center"/>
      </w:pPr>
      <w:r>
        <w:t>Prof. Dr. Yüksel ÖZDEMİR, Takım Başkanı</w:t>
      </w:r>
    </w:p>
    <w:p w:rsidR="005279A8" w:rsidRDefault="00A1390C">
      <w:pPr>
        <w:spacing w:line="240" w:lineRule="auto"/>
        <w:jc w:val="center"/>
      </w:pPr>
      <w:r>
        <w:t>Doç. Dr. Özlem ÖZPAK AKKUŞ, Akademik Değerlendirici</w:t>
      </w:r>
    </w:p>
    <w:p w:rsidR="005279A8" w:rsidRDefault="00A1390C">
      <w:pPr>
        <w:spacing w:line="240" w:lineRule="auto"/>
        <w:jc w:val="center"/>
      </w:pPr>
      <w:r>
        <w:t>Öğr. Görevlisi Öznur GÜLDAĞ, Akademik Değerlendirici</w:t>
      </w:r>
    </w:p>
    <w:p w:rsidR="005279A8" w:rsidRDefault="00A1390C">
      <w:pPr>
        <w:spacing w:line="240" w:lineRule="auto"/>
        <w:jc w:val="center"/>
      </w:pPr>
      <w:r>
        <w:t>Ögr. Görevlisi Özge VİLLİ, KGS Değerlendirici</w:t>
      </w:r>
    </w:p>
    <w:p w:rsidR="005279A8" w:rsidRDefault="00A1390C">
      <w:pPr>
        <w:spacing w:line="240" w:lineRule="auto"/>
        <w:jc w:val="center"/>
      </w:pPr>
      <w:r>
        <w:t>Elif Sultan KUTLAY, İdari Değerlendirici</w:t>
      </w:r>
    </w:p>
    <w:p w:rsidR="005279A8" w:rsidRDefault="00A1390C">
      <w:pPr>
        <w:spacing w:line="240" w:lineRule="auto"/>
        <w:jc w:val="center"/>
      </w:pPr>
      <w:r>
        <w:t>Ecenur KURTULMUŞ, Öğrenci Değerlendirici</w:t>
      </w:r>
    </w:p>
    <w:p w:rsidR="005279A8" w:rsidRDefault="005279A8">
      <w:pPr>
        <w:spacing w:line="240" w:lineRule="auto"/>
        <w:jc w:val="center"/>
        <w:rPr>
          <w:b/>
        </w:rPr>
      </w:pPr>
    </w:p>
    <w:p w:rsidR="005279A8" w:rsidRDefault="005279A8">
      <w:pPr>
        <w:spacing w:line="240" w:lineRule="auto"/>
        <w:jc w:val="center"/>
        <w:rPr>
          <w:b/>
        </w:rPr>
      </w:pPr>
    </w:p>
    <w:p w:rsidR="005279A8" w:rsidRDefault="00B1374A">
      <w:pPr>
        <w:spacing w:line="240" w:lineRule="auto"/>
        <w:jc w:val="center"/>
        <w:rPr>
          <w:b/>
        </w:rPr>
      </w:pPr>
      <w:r>
        <w:rPr>
          <w:b/>
        </w:rPr>
        <w:t>15</w:t>
      </w:r>
      <w:r w:rsidR="00A1390C">
        <w:rPr>
          <w:b/>
        </w:rPr>
        <w:t>/05/2024</w:t>
      </w:r>
    </w:p>
    <w:p w:rsidR="005279A8" w:rsidRDefault="005279A8"/>
    <w:p w:rsidR="005279A8" w:rsidRDefault="005279A8">
      <w:pPr>
        <w:rPr>
          <w:b/>
        </w:rPr>
      </w:pPr>
    </w:p>
    <w:p w:rsidR="005279A8" w:rsidRDefault="00A1390C">
      <w:pPr>
        <w:rPr>
          <w:b/>
        </w:rPr>
      </w:pPr>
      <w:r>
        <w:rPr>
          <w:b/>
        </w:rPr>
        <w:t xml:space="preserve">GENEL BİLGİLER </w:t>
      </w:r>
    </w:p>
    <w:p w:rsidR="005279A8" w:rsidRDefault="00A1390C">
      <w:pPr>
        <w:rPr>
          <w:color w:val="000000"/>
        </w:rPr>
      </w:pPr>
      <w:r>
        <w:rPr>
          <w:color w:val="000000"/>
        </w:rPr>
        <w:t>07 Temmuz 2009 tarihli ve 27281 sayılı Resmi Gazete ‘de yayımlanan, “23.06.2009 tarihinde TBMM’de kabul edilen 5913 sayılı Yüksek Öğretim Kurumları Teşkilatı Kanununda Değişiklik Yapılmasına Dair Kanun’un 1 inci maddesi ile 28.03.1983 tarih ve 2809 sayılı Yüksek Öğretim Kurumları Teşkilatı Kanunu’na eklenen Ek Madde 111 ile Mersin Eğitim Vakfı tarafından 2547 sayılı Yükseköğretim Kanununun vakıf yükseköğretim kurumlarına ilişkin hükümlerine tabi olmak üzere, kamu tüzel kişiliğine sahip Toros Üniversitesi adıyla bir vakıf üniversitesi ve bu üniversitenin rektörlüğüne bağlı; Güzel Sanatlar Fakültesi” olarak kurulmuştur.  Fakültenin adı 8 Nisan 2016 tarihli ve 29678 sayılı Resmî Gazete ’de yayımlanan 2016/8700 sayılı Bakanlar Kurulu Kararıyla Güzel Sanatlar Tasarım ve Mimarlık Fakültesi olarak değiştirilmiştir.</w:t>
      </w:r>
    </w:p>
    <w:p w:rsidR="005279A8" w:rsidRDefault="00A1390C">
      <w:pPr>
        <w:rPr>
          <w:color w:val="000000"/>
        </w:rPr>
      </w:pPr>
      <w:r>
        <w:rPr>
          <w:color w:val="000000"/>
        </w:rPr>
        <w:t>Halihazırda Fakülte bünyesinde “Mimarlık”, “İç Mimarlık”, “Gastronomi ve Mutfak Sanatları” bölümlerinde lisans düzeyinde öğretime devam edilmektedir.</w:t>
      </w:r>
      <w:r>
        <w:t xml:space="preserve"> </w:t>
      </w:r>
      <w:r>
        <w:rPr>
          <w:color w:val="000000"/>
        </w:rPr>
        <w:t xml:space="preserve">2017-2018 Eğitim Öğretim Yılı’ndan itibaren; Mimarlık ve İç Mimarlık bölümlerinin yer aldığı Uray Kampüsünde ve 2021 yılında Gastronomi ve Mutfak Sanatları bölümünün fakülte bünyesine katılması ile mekân ihtiyacı artmıştır. Bu bölümdeki eğitim, öğretim ve araştırma faaliyetlerini sürdüren akademik personel ve eğitim öğretim gören öğrenciler 45 Evler Kampüsü’ndeki derslikleri ve ofisleri kullanmaktadır. </w:t>
      </w:r>
    </w:p>
    <w:p w:rsidR="005279A8" w:rsidRDefault="00A1390C">
      <w:r>
        <w:t xml:space="preserve">Fakülte bünyesinde kadrolu 19 öğretim elemanı ve 2 idari personel görev yapmaktadır. 2023 yılı itibari ile Mimarlık 75, İç Mimarlık 138,  Gastronomi ve Mutfak Sanatları bölümünde 70 olmak üzere toplam öğrenci sayısı 313 öğrenci ile eğitim-öğretim faaliyetlerini sürdürmektedir. </w:t>
      </w:r>
    </w:p>
    <w:p w:rsidR="005279A8" w:rsidRDefault="00A1390C">
      <w:pPr>
        <w:rPr>
          <w:b/>
          <w:color w:val="C00000"/>
        </w:rPr>
      </w:pPr>
      <w:r>
        <w:rPr>
          <w:b/>
          <w:color w:val="C00000"/>
        </w:rPr>
        <w:t xml:space="preserve">BİR ÖNCEKİ BGBR DEĞERLENDİRİLMESİ </w:t>
      </w:r>
    </w:p>
    <w:p w:rsidR="005279A8" w:rsidRDefault="00A1390C">
      <w:pPr>
        <w:rPr>
          <w:color w:val="000000"/>
        </w:rPr>
      </w:pPr>
      <w:r>
        <w:rPr>
          <w:color w:val="000000"/>
        </w:rPr>
        <w:t xml:space="preserve">2022 yılı İç Değerlendirme Takımı tarafından BİDR ve Saha Ziyareti sonunda hazırladıkları Birim İzleme Raporu (BİZR) de belirtilen iyileştirmeye yönelik faaliyetler takımımız tarafından değerlendirilmiştir. Bu değerlendirme sırasında BİDR-2023 ve kanıtlar değerlendirilmiş ve saha ziyareti sırasında gözlemler yapılmıştır. Bu çerçevede yapılan değerlendirmeler aşağıda özetlenmiştir. </w:t>
      </w:r>
    </w:p>
    <w:p w:rsidR="005279A8" w:rsidRDefault="00A1390C">
      <w:pPr>
        <w:rPr>
          <w:color w:val="000000"/>
        </w:rPr>
      </w:pPr>
      <w:r>
        <w:rPr>
          <w:color w:val="000000"/>
        </w:rPr>
        <w:t xml:space="preserve">Liderlik, Yönetim ve Kalite Güvencesi Sistemi </w:t>
      </w:r>
    </w:p>
    <w:tbl>
      <w:tblPr>
        <w:tblStyle w:val="af6"/>
        <w:tblW w:w="9498" w:type="dxa"/>
        <w:tblInd w:w="-5" w:type="dxa"/>
        <w:tblBorders>
          <w:top w:val="single" w:sz="4" w:space="0" w:color="A0C4E3"/>
          <w:left w:val="single" w:sz="4" w:space="0" w:color="A0C4E3"/>
          <w:bottom w:val="single" w:sz="4" w:space="0" w:color="A0C4E3"/>
          <w:right w:val="single" w:sz="4" w:space="0" w:color="A0C4E3"/>
          <w:insideH w:val="single" w:sz="4" w:space="0" w:color="A0C4E3"/>
          <w:insideV w:val="single" w:sz="4" w:space="0" w:color="A0C4E3"/>
        </w:tblBorders>
        <w:tblLayout w:type="fixed"/>
        <w:tblLook w:val="04A0" w:firstRow="1" w:lastRow="0" w:firstColumn="1" w:lastColumn="0" w:noHBand="0" w:noVBand="1"/>
      </w:tblPr>
      <w:tblGrid>
        <w:gridCol w:w="567"/>
        <w:gridCol w:w="5345"/>
        <w:gridCol w:w="3586"/>
      </w:tblGrid>
      <w:tr w:rsidR="005279A8" w:rsidTr="00B13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C4BCC6" w:themeFill="accent6" w:themeFillTint="99"/>
          </w:tcPr>
          <w:p w:rsidR="005279A8" w:rsidRDefault="005279A8">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p>
        </w:tc>
        <w:tc>
          <w:tcPr>
            <w:tcW w:w="5345" w:type="dxa"/>
            <w:shd w:val="clear" w:color="auto" w:fill="C4BCC6" w:themeFill="accent6" w:themeFillTint="99"/>
          </w:tcPr>
          <w:p w:rsidR="005279A8" w:rsidRDefault="00A1390C">
            <w:pPr>
              <w:keepNext/>
              <w:keepLines/>
              <w:pBdr>
                <w:top w:val="nil"/>
                <w:left w:val="nil"/>
                <w:bottom w:val="nil"/>
                <w:right w:val="nil"/>
                <w:between w:val="nil"/>
              </w:pBdr>
              <w:spacing w:before="120" w:line="276" w:lineRule="auto"/>
              <w:ind w:right="63"/>
              <w:jc w:val="both"/>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Pr>
                <w:rFonts w:ascii="Calibri" w:hAnsi="Calibri"/>
                <w:color w:val="000000"/>
                <w:sz w:val="24"/>
                <w:szCs w:val="24"/>
              </w:rPr>
              <w:t>BGBR’ye göre iyileştirmeye açık yanlar</w:t>
            </w:r>
          </w:p>
        </w:tc>
        <w:tc>
          <w:tcPr>
            <w:tcW w:w="3586" w:type="dxa"/>
            <w:shd w:val="clear" w:color="auto" w:fill="C4BCC6" w:themeFill="accent6" w:themeFillTint="99"/>
          </w:tcPr>
          <w:p w:rsidR="005279A8" w:rsidRDefault="00A1390C">
            <w:pPr>
              <w:keepNext/>
              <w:keepLines/>
              <w:pBdr>
                <w:top w:val="nil"/>
                <w:left w:val="nil"/>
                <w:bottom w:val="nil"/>
                <w:right w:val="nil"/>
                <w:between w:val="nil"/>
              </w:pBdr>
              <w:spacing w:before="120" w:line="276" w:lineRule="auto"/>
              <w:ind w:right="63"/>
              <w:jc w:val="both"/>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Pr>
                <w:rFonts w:ascii="Calibri" w:hAnsi="Calibri"/>
                <w:color w:val="000000"/>
                <w:sz w:val="24"/>
                <w:szCs w:val="24"/>
              </w:rPr>
              <w:t>Yapılan İyileştirmeler</w:t>
            </w:r>
          </w:p>
        </w:tc>
      </w:tr>
      <w:tr w:rsidR="005279A8" w:rsidTr="00527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1</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Fakültenin BİDR’de yönetim ve idari yapıya ilişkin yapı diyagramı bulunmakla birlikte açıkça Dekan ve Dekan Yardımcıları, Fakülte Kurulu vb. bilgiler yer almamaktadır.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 xml:space="preserve">Fakültenin web sitesi incelendiğinde Dekan ve Dekan Yardımcıları, Fakülte Kurulu vb. bilgiler yer aldığından eksikliğin giderildiği görülmektedir. </w:t>
            </w:r>
          </w:p>
        </w:tc>
      </w:tr>
      <w:tr w:rsidR="005279A8" w:rsidTr="005279A8">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2</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Fakültenin idari görev dağılımları kapsayıcı olarak belirlenmiştir. İdari işlerin ve kalite sisteminin yürütülmesiyle ilgili uygulamaların ve görevlerin tanımlanmış olması güçlü bir yöndür.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Yapılan değerlendirmede BİDR’da belirtildiği üzere; idari işlemlerini yürütülmesi amacı ile öğrenci danışmanlığı mekanizması, engelli öğrenci birim temsilciği, staj komisyonu gibi aktif komisyonlar ve diğer idari işlerinin yapılması için bölüm bazında görevlendirmeler yapıldığı görülmekle birlikte web sitesinde görünürlüğü açısından iyileştirme yapılmasına ihtiyaç duyulmaktadır.</w:t>
            </w:r>
          </w:p>
        </w:tc>
      </w:tr>
      <w:tr w:rsidR="005279A8" w:rsidTr="00527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3</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İdari işlere ilişkin formlar bulunmakla birlikte öğrenciler ve öğretim üyelerine yönelik formların ayrı ayrı tanımlanmış olması faydalı olabilir.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Web sayfasında yer alan formlar, öğrenci ve öğretim elemanları için ayrı ayrı tanımlanmış ve ulaşılabilir hale getirilerek eksiklik giderilmiştir.</w:t>
            </w:r>
          </w:p>
        </w:tc>
      </w:tr>
      <w:tr w:rsidR="005279A8" w:rsidTr="005279A8">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4</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Stratejik plan temel politikaları belirlenerek paydaşlara duyurulmuştur. Ancak, hedeflenen politikaların gerçekleşmesi için faaliyetlerin yürütülmesine ilişkin planlara rastlanmamıştır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Fakültenin 2022-2026 Stratejik plan hazırlanmış ve bu kapsamda belirlenen hedefler ve performans göstergeleri her yıl izlenmek üzere SP-Değerlendirme Raporları web sitesinde paydaşlara duyurulmuştur. Dolayısıyla SP’nin yürütülmesinde herhangi eksikliğe rastlanılmamıştır.</w:t>
            </w:r>
          </w:p>
        </w:tc>
      </w:tr>
      <w:tr w:rsidR="005279A8" w:rsidTr="00527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lastRenderedPageBreak/>
              <w:t>5</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Kalite kültürünün yaygınlaştırılması ve kalite süreçlerinin iyileştirilmesi için yapılan etkinliklerin bulunması ancak toplantıların kanıt ve raporlarının yetersizliği</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 xml:space="preserve">Kalite kültürünün yaygınlaştırılmasına yönelik, SP kapsamında planlanan faaliyetler bir rapor haline getirilmiştir. Bu kapsamda katılımcılardan geribildirim alınması ve bundan sonra iyileştirmeler yapılması açısından olumlu olarak değerlendirilmektedir. </w:t>
            </w:r>
          </w:p>
        </w:tc>
      </w:tr>
      <w:tr w:rsidR="005279A8" w:rsidTr="005279A8">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6</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İç kalite güvence sisteminin değerlendirilmesinde paydaş katılımı ile öğrencilerin ve mezunların geri bildirimleri alınmakla birlikte bunlara ilişkin kanıtların ulaşılabilirliği sorunludur.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Yapılan değerlendirmede; İç ve dış paydaşlardan alınan farklı sayıda geribildirim verileri alınarak bölümler bazında raporlandırma yapılmıştır. Bu raporlar web sitesinde duyurulmuş olup eksiklik giderilmiştir.</w:t>
            </w:r>
          </w:p>
        </w:tc>
      </w:tr>
      <w:tr w:rsidR="005279A8" w:rsidTr="00527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7</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Kalite güvence sisteminin bileşenlerine yönelik değerlendirmeler yer almakla birlikte bunların birimin stratejik planıyla uyum ve ilişkisini ortaya koyma gelişmeye açık yöndür.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KGS de belirtilen başlıklar SP de amaç olarak belirlenmiş ve Stratejik plandaki hedeflerin ve performans göstergelerin başarı durum değerlendirilmesi yapıldığı BİDR’da belirtilmiştir.</w:t>
            </w:r>
          </w:p>
        </w:tc>
      </w:tr>
      <w:tr w:rsidR="005279A8" w:rsidTr="005279A8">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8</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Fakültenin Kalite komisyonu ve alt çalışma grupları açıkça belirlenmiş olmakla birlikte alt çalışma grupları bazı alanlarda aynı kişilerden oluşmaktadır.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Fakültenin Kalite komisyonu ve alt çalışma grupları web sitesinde duyurulmuştur. Komisyonlarda, mezunlardan, dış paydaşlardan ve idari personelden temsilcilerin bulunması ile kapsayıcılığın sağlanacağı değerlendirilmektedir. </w:t>
            </w:r>
          </w:p>
        </w:tc>
      </w:tr>
      <w:tr w:rsidR="005279A8" w:rsidTr="00527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9</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 xml:space="preserve">Fakültede görev yapmakta olan bazı öğretim elemanlarının web sayfasında özgeçmişlerinin güncellenmesi.  </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 xml:space="preserve">Yapılan incelemede; Öğretim elemanlarının özgeçmişlerin de güncellemeler gerçekleşmiştir. Ancak konunun sürekli bir şekilde izlenmesinde yarar olacağı değerlendirilmektedir. </w:t>
            </w:r>
          </w:p>
        </w:tc>
      </w:tr>
    </w:tbl>
    <w:p w:rsidR="005279A8" w:rsidRDefault="005279A8">
      <w:pPr>
        <w:keepNext/>
        <w:keepLines/>
        <w:pBdr>
          <w:top w:val="nil"/>
          <w:left w:val="nil"/>
          <w:bottom w:val="nil"/>
          <w:right w:val="nil"/>
          <w:between w:val="nil"/>
        </w:pBdr>
        <w:spacing w:before="120" w:after="0" w:line="360" w:lineRule="auto"/>
        <w:ind w:right="63"/>
        <w:rPr>
          <w:rFonts w:ascii="Calibri" w:hAnsi="Calibri"/>
          <w:b/>
          <w:color w:val="B81074"/>
        </w:rPr>
      </w:pPr>
    </w:p>
    <w:p w:rsidR="005279A8" w:rsidRDefault="00A1390C">
      <w:pPr>
        <w:keepNext/>
        <w:keepLines/>
        <w:pBdr>
          <w:top w:val="nil"/>
          <w:left w:val="nil"/>
          <w:bottom w:val="nil"/>
          <w:right w:val="nil"/>
          <w:between w:val="nil"/>
        </w:pBdr>
        <w:spacing w:before="120" w:after="0" w:line="360" w:lineRule="auto"/>
        <w:ind w:right="63"/>
        <w:rPr>
          <w:rFonts w:ascii="Calibri" w:hAnsi="Calibri"/>
          <w:b/>
          <w:color w:val="B81074"/>
        </w:rPr>
      </w:pPr>
      <w:r>
        <w:rPr>
          <w:rFonts w:ascii="Calibri" w:hAnsi="Calibri"/>
          <w:b/>
          <w:color w:val="000000"/>
        </w:rPr>
        <w:t>Eğitim-Öğretim</w:t>
      </w:r>
    </w:p>
    <w:tbl>
      <w:tblPr>
        <w:tblStyle w:val="af7"/>
        <w:tblW w:w="9498" w:type="dxa"/>
        <w:tblInd w:w="-5" w:type="dxa"/>
        <w:tblBorders>
          <w:top w:val="single" w:sz="4" w:space="0" w:color="A0C4E3"/>
          <w:left w:val="single" w:sz="4" w:space="0" w:color="A0C4E3"/>
          <w:bottom w:val="single" w:sz="4" w:space="0" w:color="A0C4E3"/>
          <w:right w:val="single" w:sz="4" w:space="0" w:color="A0C4E3"/>
          <w:insideH w:val="single" w:sz="4" w:space="0" w:color="A0C4E3"/>
          <w:insideV w:val="single" w:sz="4" w:space="0" w:color="A0C4E3"/>
        </w:tblBorders>
        <w:tblLayout w:type="fixed"/>
        <w:tblLook w:val="04A0" w:firstRow="1" w:lastRow="0" w:firstColumn="1" w:lastColumn="0" w:noHBand="0" w:noVBand="1"/>
      </w:tblPr>
      <w:tblGrid>
        <w:gridCol w:w="567"/>
        <w:gridCol w:w="5345"/>
        <w:gridCol w:w="3586"/>
      </w:tblGrid>
      <w:tr w:rsidR="005279A8" w:rsidTr="00B13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C4BCC6" w:themeFill="accent6" w:themeFillTint="99"/>
          </w:tcPr>
          <w:p w:rsidR="005279A8" w:rsidRDefault="005279A8">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bookmarkStart w:id="1" w:name="_GoBack"/>
          </w:p>
        </w:tc>
        <w:tc>
          <w:tcPr>
            <w:tcW w:w="5345" w:type="dxa"/>
            <w:shd w:val="clear" w:color="auto" w:fill="C4BCC6" w:themeFill="accent6" w:themeFillTint="99"/>
          </w:tcPr>
          <w:p w:rsidR="005279A8" w:rsidRDefault="00A1390C">
            <w:pPr>
              <w:keepNext/>
              <w:keepLines/>
              <w:pBdr>
                <w:top w:val="nil"/>
                <w:left w:val="nil"/>
                <w:bottom w:val="nil"/>
                <w:right w:val="nil"/>
                <w:between w:val="nil"/>
              </w:pBdr>
              <w:spacing w:before="120" w:line="276" w:lineRule="auto"/>
              <w:ind w:right="63"/>
              <w:jc w:val="both"/>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Pr>
                <w:rFonts w:ascii="Calibri" w:hAnsi="Calibri"/>
                <w:color w:val="000000"/>
                <w:sz w:val="24"/>
                <w:szCs w:val="24"/>
              </w:rPr>
              <w:t>BGBR’ye göre iyileştirmeye açık yanlar</w:t>
            </w:r>
          </w:p>
        </w:tc>
        <w:tc>
          <w:tcPr>
            <w:tcW w:w="3586" w:type="dxa"/>
            <w:shd w:val="clear" w:color="auto" w:fill="C4BCC6" w:themeFill="accent6" w:themeFillTint="99"/>
          </w:tcPr>
          <w:p w:rsidR="005279A8" w:rsidRDefault="00A1390C">
            <w:pPr>
              <w:keepNext/>
              <w:keepLines/>
              <w:pBdr>
                <w:top w:val="nil"/>
                <w:left w:val="nil"/>
                <w:bottom w:val="nil"/>
                <w:right w:val="nil"/>
                <w:between w:val="nil"/>
              </w:pBdr>
              <w:spacing w:before="120" w:line="276" w:lineRule="auto"/>
              <w:ind w:right="63"/>
              <w:jc w:val="both"/>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Pr>
                <w:rFonts w:ascii="Calibri" w:hAnsi="Calibri"/>
                <w:color w:val="000000"/>
                <w:sz w:val="24"/>
                <w:szCs w:val="24"/>
              </w:rPr>
              <w:t>Yapılan İyileştirmeler</w:t>
            </w:r>
          </w:p>
        </w:tc>
      </w:tr>
      <w:bookmarkEnd w:id="1"/>
      <w:tr w:rsidR="005279A8" w:rsidTr="00527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1</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Stratejik Planda izlenecek performans göstergeler takip edilmiş fakat raporda sunulmamıştır. Stratejik Planla paralel bir süreç yönetildiğinin ifade edilmesi ve hedeflerin erişilme düzeylerine ilişkin açıklamaların yapılmasının faydalı olacağı değerlendirilmektedir.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Eğitim-Öğretim amacı altında birçok hedef ve bu hedeflere ulaşılması için perforformans göstergeleri belirlenmiş, 2023 yılında izlenmiş ve SPR de değerlendirme yapılmakla birlikte BİDR da detaylandırılmadığı, dolayısıyla SP’nin eğitim-öğretimde iyileştirmelerin verilmediği değerlendirilmektedir.</w:t>
            </w:r>
          </w:p>
        </w:tc>
      </w:tr>
      <w:tr w:rsidR="005279A8" w:rsidTr="005279A8">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2</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ÇAP ve Yan dal bilgilendirme süreçlerinin işleyişi eksik anlatılmış ve kanıta ihtiyaç duymaktadır.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BİDR’de ÇAP ve YANDAL ile ilgili sayısal bilgiler verilmekle birlikte öğrenci sayısının artırılmasına yönelik planlamalar ve iyileştirmelerin detaylandırılmasında yarar bulunmaktadır.</w:t>
            </w:r>
          </w:p>
        </w:tc>
      </w:tr>
      <w:tr w:rsidR="005279A8" w:rsidTr="00527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3</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Müfredat geliştirilmesi halihazırda yapılmaktadır fakat bunun gerekçelendirilmesi ve kanıtları yapılan uygulamadaki performansı tam olarak karşılamamaktadır.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 xml:space="preserve">Mimarlık ve İç Mimarlık bölümlerinde Özdeğerlendirme süreçlerine başlamakla birlikte henüz tamamlanmadığı görülmektedir. Programlarda müfredat çalışmaların yapıldığı ve eksikliğin giderildiği görülmektedir. </w:t>
            </w:r>
          </w:p>
        </w:tc>
      </w:tr>
      <w:tr w:rsidR="005279A8" w:rsidTr="005279A8">
        <w:tc>
          <w:tcPr>
            <w:cnfStyle w:val="001000000000" w:firstRow="0" w:lastRow="0" w:firstColumn="1" w:lastColumn="0" w:oddVBand="0" w:evenVBand="0" w:oddHBand="0" w:evenHBand="0" w:firstRowFirstColumn="0" w:firstRowLastColumn="0" w:lastRowFirstColumn="0" w:lastRowLastColumn="0"/>
            <w:tcW w:w="567" w:type="dxa"/>
          </w:tcPr>
          <w:p w:rsidR="005279A8" w:rsidRDefault="00A1390C">
            <w:pPr>
              <w:keepNext/>
              <w:keepLines/>
              <w:pBdr>
                <w:top w:val="nil"/>
                <w:left w:val="nil"/>
                <w:bottom w:val="nil"/>
                <w:right w:val="nil"/>
                <w:between w:val="nil"/>
              </w:pBdr>
              <w:spacing w:before="120" w:line="360" w:lineRule="auto"/>
              <w:ind w:right="63"/>
              <w:jc w:val="both"/>
              <w:rPr>
                <w:rFonts w:ascii="Calibri" w:hAnsi="Calibri"/>
                <w:b w:val="0"/>
                <w:color w:val="B81074"/>
                <w:sz w:val="24"/>
                <w:szCs w:val="24"/>
              </w:rPr>
            </w:pPr>
            <w:r>
              <w:rPr>
                <w:rFonts w:ascii="Calibri" w:hAnsi="Calibri"/>
                <w:color w:val="B81074"/>
                <w:sz w:val="24"/>
                <w:szCs w:val="24"/>
              </w:rPr>
              <w:t>4</w:t>
            </w:r>
          </w:p>
        </w:tc>
        <w:tc>
          <w:tcPr>
            <w:tcW w:w="5345"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b/>
                <w:color w:val="B81074"/>
                <w:sz w:val="24"/>
                <w:szCs w:val="24"/>
              </w:rPr>
            </w:pPr>
            <w:r>
              <w:rPr>
                <w:rFonts w:ascii="Calibri" w:hAnsi="Calibri"/>
                <w:b/>
                <w:color w:val="B81074"/>
                <w:sz w:val="24"/>
                <w:szCs w:val="24"/>
              </w:rPr>
              <w:t>Mezun ilişkileri desteklenmektedir. Fakat mezun süreçleri ile ilgili takip edilen hususların açıklanmasında fayda görülmektedir.</w:t>
            </w:r>
          </w:p>
        </w:tc>
        <w:tc>
          <w:tcPr>
            <w:tcW w:w="3586" w:type="dxa"/>
          </w:tcPr>
          <w:p w:rsidR="005279A8" w:rsidRDefault="00A1390C">
            <w:pPr>
              <w:keepNext/>
              <w:keepLines/>
              <w:pBdr>
                <w:top w:val="nil"/>
                <w:left w:val="nil"/>
                <w:bottom w:val="nil"/>
                <w:right w:val="nil"/>
                <w:between w:val="nil"/>
              </w:pBdr>
              <w:spacing w:before="120" w:line="276" w:lineRule="auto"/>
              <w:ind w:right="63"/>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bookmarkStart w:id="2" w:name="_heading=h.1fob9te" w:colFirst="0" w:colLast="0"/>
            <w:bookmarkEnd w:id="2"/>
            <w:r>
              <w:rPr>
                <w:rFonts w:ascii="Calibri" w:hAnsi="Calibri"/>
                <w:sz w:val="24"/>
                <w:szCs w:val="24"/>
              </w:rPr>
              <w:t xml:space="preserve">Fakülte mezunlarımızla birebir iletişim Mezun İletişim Komisyonu tarafından sağlandığı, mezunlara yönelik anket uygulamaları bulunmakla birlikte mezun olan her bir öğrenci bazında ne zaman ve nasıl iletişim kurulduğu ile verilerin kanıtlarda olmadığından eksikliğin devam ettiği değerlendirilmektedir. </w:t>
            </w:r>
          </w:p>
        </w:tc>
      </w:tr>
    </w:tbl>
    <w:p w:rsidR="005279A8" w:rsidRDefault="005279A8">
      <w:pPr>
        <w:keepNext/>
        <w:keepLines/>
        <w:pBdr>
          <w:top w:val="nil"/>
          <w:left w:val="nil"/>
          <w:bottom w:val="nil"/>
          <w:right w:val="nil"/>
          <w:between w:val="nil"/>
        </w:pBdr>
        <w:spacing w:before="120" w:after="0" w:line="360" w:lineRule="auto"/>
        <w:ind w:right="63"/>
        <w:rPr>
          <w:rFonts w:ascii="Calibri" w:hAnsi="Calibri"/>
          <w:b/>
          <w:color w:val="000000"/>
        </w:rPr>
      </w:pPr>
    </w:p>
    <w:p w:rsidR="005279A8" w:rsidRDefault="00A1390C">
      <w:pPr>
        <w:rPr>
          <w:b/>
        </w:rPr>
      </w:pPr>
      <w:r>
        <w:rPr>
          <w:b/>
          <w:color w:val="C00000"/>
        </w:rPr>
        <w:lastRenderedPageBreak/>
        <w:t xml:space="preserve">MEVCUT DÖNEMİN BİDR DEĞERLENDİRİLMESİ </w:t>
      </w:r>
    </w:p>
    <w:p w:rsidR="005279A8" w:rsidRDefault="00A1390C">
      <w:r>
        <w:rPr>
          <w:b/>
        </w:rPr>
        <w:t>A. KALİTE GÜVENCESİ SİSTEMİ</w:t>
      </w:r>
      <w:r>
        <w:t xml:space="preserve"> </w:t>
      </w:r>
    </w:p>
    <w:p w:rsidR="005279A8" w:rsidRDefault="00A1390C">
      <w:pPr>
        <w:spacing w:before="240" w:after="240"/>
      </w:pPr>
      <w:r>
        <w:t xml:space="preserve">Fakülte tarafından hazırlanan BİDR'da Liderlik, Yönetim ve Kalite Güvence Sistemi başlığı altında yer alan ölçütler bazında yapılan faaliyetler aşağıdaki şekilde değerlendirilmiştir. </w:t>
      </w:r>
    </w:p>
    <w:p w:rsidR="005279A8" w:rsidRDefault="00A1390C">
      <w:pPr>
        <w:numPr>
          <w:ilvl w:val="0"/>
          <w:numId w:val="1"/>
        </w:numPr>
        <w:spacing w:before="240" w:after="0"/>
        <w:ind w:left="0" w:hanging="283"/>
      </w:pPr>
      <w:r>
        <w:t xml:space="preserve">2022-2026 Stratejik planında Amaç 1 (Güçlü Bir Kalite Kültürü ve Kalite Güvence Sistemini Oluşturmak) kapsamında tüm hedeflerin gerçekleşmiş ve amaç kapsamında süreçlerin rapor haline getirilmesi birimin güçlü yanı olmakla birlikle, Stratejik Plan’da yer alan diğer amaçlar kapsamında, performans göstergelerinde planlanan faaliyetler ile ilgili süreçlerin ilerleme durumlarının rapor  halinde sunulmasının Kalite Güvence Sistemini güçlendireceği düşünülmektedir. </w:t>
      </w:r>
    </w:p>
    <w:p w:rsidR="005279A8" w:rsidRDefault="00A1390C">
      <w:pPr>
        <w:numPr>
          <w:ilvl w:val="0"/>
          <w:numId w:val="1"/>
        </w:numPr>
        <w:spacing w:after="0"/>
        <w:ind w:left="0" w:hanging="283"/>
      </w:pPr>
      <w:r>
        <w:t xml:space="preserve">Birim içerisinde yer alan kurul ve komisyonlarda görevli akademik ve idari personel bilgisi raporda tablo olarak sunulmuştur.  Raporda, kurul ve komisyonların görev tanımlarına yer verilmesi ve web sitesinde görev tanımlarının paylaşılması birimin Kalite Güvence Sistemine katkı sağlayacaktır. </w:t>
      </w:r>
    </w:p>
    <w:p w:rsidR="005279A8" w:rsidRDefault="00A1390C">
      <w:pPr>
        <w:numPr>
          <w:ilvl w:val="0"/>
          <w:numId w:val="1"/>
        </w:numPr>
        <w:spacing w:after="0"/>
        <w:ind w:left="0" w:hanging="283"/>
      </w:pPr>
      <w:r>
        <w:t xml:space="preserve">Kamuoyunu bilgilendirme ve hesap verebilirlik kapsamında biriminizde birçok mekanizma (web sitesi, sosyal medya) kullanılması güçlü yön olmakla birlikte, mekanizmaların etkinliğinin ölçülmesi konusunda faaliyetlerin yapılması yararlı olacaktır. Fakülte sosyal medya hesaplarına yönelik oluşturulmuş olan Tablo F.3’e verilerin takibi konusunda gönderilerin izleme sayıları ile ilgili ekleme yapılabilir. </w:t>
      </w:r>
    </w:p>
    <w:p w:rsidR="005279A8" w:rsidRDefault="00A1390C">
      <w:pPr>
        <w:numPr>
          <w:ilvl w:val="0"/>
          <w:numId w:val="1"/>
        </w:numPr>
        <w:spacing w:after="0"/>
        <w:ind w:left="0" w:hanging="283"/>
      </w:pPr>
      <w:r>
        <w:t>Kalite Komisyonuna ait bilgiler web sitesinde paylaşılmıştır. Komisyona mezun öğrenci ve dış paydaşın eklenmesinin fayda sağlayacağı değerlendirilmiştir.</w:t>
      </w:r>
    </w:p>
    <w:p w:rsidR="005279A8" w:rsidRDefault="00A1390C">
      <w:pPr>
        <w:numPr>
          <w:ilvl w:val="0"/>
          <w:numId w:val="1"/>
        </w:numPr>
        <w:spacing w:after="0"/>
        <w:ind w:left="0" w:hanging="283"/>
      </w:pPr>
      <w:r>
        <w:t>İç ve dış paydaş katılımında geri bildirim ve iyileştirmeye yönelik birimde birçok mekanizma (öğrenci, mezun öğrenci ve işveren anketleri) kullanılmakla birlikte anketlerden elde edilen sonuçların Kalite Güvence Sistemi kapsamında tüm ana başlıklara olan katkılarına ayrı ayrı açıklanması fayda sağlayacağı düşünülmektedir. (Örneğin, yeni mezun anket ile program çıktılarının değerlendirilmesi devamında gerekiyorsa müfredat güncellenmesinin yapılması)</w:t>
      </w:r>
    </w:p>
    <w:p w:rsidR="005279A8" w:rsidRDefault="00A1390C">
      <w:pPr>
        <w:numPr>
          <w:ilvl w:val="0"/>
          <w:numId w:val="1"/>
        </w:numPr>
        <w:spacing w:after="0"/>
        <w:ind w:left="0" w:hanging="283"/>
      </w:pPr>
      <w:r>
        <w:t xml:space="preserve">Öğrenci geri bildirimleri konusunda öğrenci  danışmanlığına yönelik gerçekleştirilen faaliyetlerin rapor halinde sunulması birimin güçlü yönü olmakla birlikte, raporda belirtilen mentörlük ve kariyer sohbetlerine yönelik uygulama kanıtlarına rastlanmamıştır. </w:t>
      </w:r>
    </w:p>
    <w:p w:rsidR="005279A8" w:rsidRDefault="00A1390C">
      <w:pPr>
        <w:numPr>
          <w:ilvl w:val="0"/>
          <w:numId w:val="1"/>
        </w:numPr>
        <w:spacing w:after="0"/>
        <w:ind w:left="0" w:hanging="283"/>
      </w:pPr>
      <w:r>
        <w:t xml:space="preserve">Mezun ve İşveren memnuniyeti anketi konusunda raporda sunulmuş olan tabloya katılımcı sayıları ile birlikte 2022-2026 Stratejik Planında yer alan memnuniyet oranına yönelik yüzde verilerinin eklenmesinin fayda sağlayacağı düşünülmektedir. </w:t>
      </w:r>
    </w:p>
    <w:p w:rsidR="005279A8" w:rsidRDefault="00A1390C">
      <w:pPr>
        <w:numPr>
          <w:ilvl w:val="0"/>
          <w:numId w:val="1"/>
        </w:numPr>
        <w:spacing w:after="0"/>
        <w:ind w:left="0" w:hanging="283"/>
      </w:pPr>
      <w:r>
        <w:t xml:space="preserve">Oryantasyon sürecinde 2022 yılı kapsamında oluşturulan Oryantasyon Eğitimi Değerlendirme raporuna yönelik belirtilen iyileştirme faaliyetlerin, 2023 yılı kapsamında tamamlanmış olması ve PÜKO döngünün kapatılması konusunda örnek olması biriminizin güçlü yönü olarak değerlendirilmiştir. </w:t>
      </w:r>
    </w:p>
    <w:p w:rsidR="005279A8" w:rsidRDefault="00A1390C">
      <w:pPr>
        <w:numPr>
          <w:ilvl w:val="0"/>
          <w:numId w:val="1"/>
        </w:numPr>
        <w:spacing w:after="240"/>
        <w:ind w:left="0" w:hanging="283"/>
      </w:pPr>
      <w:r>
        <w:t xml:space="preserve">Raporda sunulmuş olan tüm kanıtlar, saha ziyareti sırasında sunulmuş olmakla birlikte, kanıtların link kontrolünün yapılmasının fayda sağlayacağı düşünülmektedir. </w:t>
      </w:r>
    </w:p>
    <w:p w:rsidR="005279A8" w:rsidRDefault="00A1390C">
      <w:pPr>
        <w:spacing w:before="240" w:after="240"/>
      </w:pPr>
      <w:r>
        <w:rPr>
          <w:b/>
        </w:rPr>
        <w:lastRenderedPageBreak/>
        <w:t>A.1 Gelişmeye açık yanlar</w:t>
      </w:r>
      <w:r>
        <w:t xml:space="preserve"> (BİDR raporunda ve saha ziyaretinde elde edilen bulgular çerçevesinde gelişmeye açık yanlar veya varsa takımın önerileri belirtilir)</w:t>
      </w:r>
    </w:p>
    <w:tbl>
      <w:tblPr>
        <w:tblStyle w:val="af8"/>
        <w:tblW w:w="9420"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55"/>
        <w:gridCol w:w="3405"/>
        <w:gridCol w:w="5460"/>
      </w:tblGrid>
      <w:tr w:rsidR="005279A8">
        <w:tc>
          <w:tcPr>
            <w:tcW w:w="555" w:type="dxa"/>
          </w:tcPr>
          <w:p w:rsidR="005279A8" w:rsidRDefault="005279A8">
            <w:pPr>
              <w:spacing w:line="276" w:lineRule="auto"/>
              <w:rPr>
                <w:b/>
              </w:rPr>
            </w:pPr>
          </w:p>
        </w:tc>
        <w:tc>
          <w:tcPr>
            <w:tcW w:w="3405" w:type="dxa"/>
          </w:tcPr>
          <w:p w:rsidR="005279A8" w:rsidRDefault="00A1390C">
            <w:pPr>
              <w:spacing w:line="276" w:lineRule="auto"/>
              <w:rPr>
                <w:b/>
              </w:rPr>
            </w:pPr>
            <w:r>
              <w:rPr>
                <w:b/>
              </w:rPr>
              <w:t>Gelişmeye Açık Yanlar</w:t>
            </w:r>
          </w:p>
        </w:tc>
        <w:tc>
          <w:tcPr>
            <w:tcW w:w="5460" w:type="dxa"/>
          </w:tcPr>
          <w:p w:rsidR="005279A8" w:rsidRDefault="00A1390C">
            <w:pPr>
              <w:spacing w:line="276" w:lineRule="auto"/>
              <w:rPr>
                <w:b/>
              </w:rPr>
            </w:pPr>
            <w:r>
              <w:rPr>
                <w:b/>
              </w:rPr>
              <w:t xml:space="preserve">Öneri </w:t>
            </w:r>
          </w:p>
        </w:tc>
      </w:tr>
      <w:tr w:rsidR="005279A8">
        <w:tc>
          <w:tcPr>
            <w:tcW w:w="555" w:type="dxa"/>
          </w:tcPr>
          <w:p w:rsidR="005279A8" w:rsidRDefault="00A1390C">
            <w:pPr>
              <w:spacing w:line="276" w:lineRule="auto"/>
              <w:rPr>
                <w:b/>
              </w:rPr>
            </w:pPr>
            <w:r>
              <w:rPr>
                <w:b/>
              </w:rPr>
              <w:t>1</w:t>
            </w:r>
          </w:p>
        </w:tc>
        <w:tc>
          <w:tcPr>
            <w:tcW w:w="3405" w:type="dxa"/>
          </w:tcPr>
          <w:p w:rsidR="005279A8" w:rsidRDefault="00A1390C">
            <w:pPr>
              <w:pBdr>
                <w:top w:val="nil"/>
                <w:left w:val="nil"/>
                <w:bottom w:val="nil"/>
                <w:right w:val="nil"/>
                <w:between w:val="nil"/>
              </w:pBdr>
              <w:spacing w:line="276" w:lineRule="auto"/>
              <w:rPr>
                <w:b/>
              </w:rPr>
            </w:pPr>
            <w:r>
              <w:rPr>
                <w:b/>
              </w:rPr>
              <w:t>Performans Göstergelerinin Detaylı Raporlanmaması</w:t>
            </w:r>
          </w:p>
        </w:tc>
        <w:tc>
          <w:tcPr>
            <w:tcW w:w="5460" w:type="dxa"/>
          </w:tcPr>
          <w:p w:rsidR="005279A8" w:rsidRDefault="00A1390C">
            <w:pPr>
              <w:spacing w:before="240" w:after="240" w:line="276" w:lineRule="auto"/>
              <w:jc w:val="both"/>
              <w:rPr>
                <w:sz w:val="24"/>
                <w:szCs w:val="24"/>
              </w:rPr>
            </w:pPr>
            <w:r>
              <w:rPr>
                <w:sz w:val="24"/>
                <w:szCs w:val="24"/>
              </w:rPr>
              <w:t>Stratejik Plan kapsamında yer alan Amaç 1 dışındaki diğer amaçlar kapsamında da, performans göstergelerinin planlanan faaliyetler ile ilgili süreçlerin ilerleme durumları rapor halinde sunulabilir.</w:t>
            </w:r>
          </w:p>
          <w:p w:rsidR="005279A8" w:rsidRDefault="005279A8">
            <w:pPr>
              <w:spacing w:line="276" w:lineRule="auto"/>
            </w:pPr>
          </w:p>
        </w:tc>
      </w:tr>
      <w:tr w:rsidR="005279A8">
        <w:tc>
          <w:tcPr>
            <w:tcW w:w="555" w:type="dxa"/>
          </w:tcPr>
          <w:p w:rsidR="005279A8" w:rsidRDefault="00A1390C">
            <w:pPr>
              <w:spacing w:line="276" w:lineRule="auto"/>
              <w:rPr>
                <w:b/>
              </w:rPr>
            </w:pPr>
            <w:r>
              <w:rPr>
                <w:b/>
              </w:rPr>
              <w:t>2</w:t>
            </w:r>
          </w:p>
        </w:tc>
        <w:tc>
          <w:tcPr>
            <w:tcW w:w="3405" w:type="dxa"/>
          </w:tcPr>
          <w:p w:rsidR="005279A8" w:rsidRDefault="00A1390C">
            <w:pPr>
              <w:pBdr>
                <w:top w:val="nil"/>
                <w:left w:val="nil"/>
                <w:bottom w:val="nil"/>
                <w:right w:val="nil"/>
                <w:between w:val="nil"/>
              </w:pBdr>
              <w:spacing w:line="276" w:lineRule="auto"/>
              <w:rPr>
                <w:b/>
              </w:rPr>
            </w:pPr>
            <w:r>
              <w:rPr>
                <w:b/>
              </w:rPr>
              <w:t>Kalite süreçlerinde yer alan kurul veya komisyonların görev tanımlarının paydaşlara duyurulmaması</w:t>
            </w:r>
          </w:p>
        </w:tc>
        <w:tc>
          <w:tcPr>
            <w:tcW w:w="5460" w:type="dxa"/>
          </w:tcPr>
          <w:p w:rsidR="005279A8" w:rsidRDefault="00A1390C">
            <w:pPr>
              <w:spacing w:before="240" w:after="240" w:line="276" w:lineRule="auto"/>
              <w:jc w:val="both"/>
              <w:rPr>
                <w:b/>
              </w:rPr>
            </w:pPr>
            <w:r>
              <w:rPr>
                <w:sz w:val="24"/>
                <w:szCs w:val="24"/>
              </w:rPr>
              <w:t>Kurul ve komisyonların görev tanımlarına yer verilerek, web sitesinde görev tanımları paylaşılabilir.</w:t>
            </w:r>
          </w:p>
        </w:tc>
      </w:tr>
      <w:tr w:rsidR="005279A8">
        <w:tc>
          <w:tcPr>
            <w:tcW w:w="555" w:type="dxa"/>
          </w:tcPr>
          <w:p w:rsidR="005279A8" w:rsidRDefault="00A1390C">
            <w:pPr>
              <w:spacing w:line="276" w:lineRule="auto"/>
              <w:rPr>
                <w:b/>
              </w:rPr>
            </w:pPr>
            <w:r>
              <w:rPr>
                <w:b/>
              </w:rPr>
              <w:t>3</w:t>
            </w:r>
          </w:p>
        </w:tc>
        <w:tc>
          <w:tcPr>
            <w:tcW w:w="3405" w:type="dxa"/>
          </w:tcPr>
          <w:p w:rsidR="005279A8" w:rsidRDefault="00A1390C">
            <w:pPr>
              <w:pBdr>
                <w:top w:val="nil"/>
                <w:left w:val="nil"/>
                <w:bottom w:val="nil"/>
                <w:right w:val="nil"/>
                <w:between w:val="nil"/>
              </w:pBdr>
              <w:spacing w:line="276" w:lineRule="auto"/>
              <w:rPr>
                <w:b/>
              </w:rPr>
            </w:pPr>
            <w:r>
              <w:rPr>
                <w:b/>
              </w:rPr>
              <w:t>Birimin paydaşlara yönelik yapılan bilgilendirme araçlarının etkinliğinin izlenmesi, değerlendirmesi ve iyileştirilmesine yönelik mekanizmaların olmaması</w:t>
            </w:r>
          </w:p>
        </w:tc>
        <w:tc>
          <w:tcPr>
            <w:tcW w:w="5460" w:type="dxa"/>
          </w:tcPr>
          <w:p w:rsidR="005279A8" w:rsidRDefault="00A1390C">
            <w:pPr>
              <w:spacing w:before="240" w:after="240" w:line="276" w:lineRule="auto"/>
              <w:jc w:val="both"/>
              <w:rPr>
                <w:sz w:val="24"/>
                <w:szCs w:val="24"/>
              </w:rPr>
            </w:pPr>
            <w:r>
              <w:rPr>
                <w:sz w:val="24"/>
                <w:szCs w:val="24"/>
              </w:rPr>
              <w:t xml:space="preserve">Fakülte sosyal medya hesaplarına yönelik oluşturulmuş olan Tablo F.3’e verilerin takibi konusunda gönderilerin izleme sayıları ile ilgili ekleme yapılabilir. </w:t>
            </w:r>
          </w:p>
        </w:tc>
      </w:tr>
      <w:tr w:rsidR="005279A8">
        <w:tc>
          <w:tcPr>
            <w:tcW w:w="555" w:type="dxa"/>
          </w:tcPr>
          <w:p w:rsidR="005279A8" w:rsidRDefault="00A1390C">
            <w:pPr>
              <w:spacing w:line="276" w:lineRule="auto"/>
              <w:rPr>
                <w:b/>
              </w:rPr>
            </w:pPr>
            <w:r>
              <w:rPr>
                <w:b/>
              </w:rPr>
              <w:t>4</w:t>
            </w:r>
          </w:p>
        </w:tc>
        <w:tc>
          <w:tcPr>
            <w:tcW w:w="3405" w:type="dxa"/>
          </w:tcPr>
          <w:p w:rsidR="005279A8" w:rsidRDefault="00A1390C">
            <w:pPr>
              <w:pBdr>
                <w:top w:val="nil"/>
                <w:left w:val="nil"/>
                <w:bottom w:val="nil"/>
                <w:right w:val="nil"/>
                <w:between w:val="nil"/>
              </w:pBdr>
              <w:spacing w:line="276" w:lineRule="auto"/>
              <w:rPr>
                <w:b/>
              </w:rPr>
            </w:pPr>
            <w:r>
              <w:rPr>
                <w:b/>
              </w:rPr>
              <w:t>Kalite Komisyonu üyelerinin iç ve dış paydaşları kapsamaması</w:t>
            </w:r>
          </w:p>
        </w:tc>
        <w:tc>
          <w:tcPr>
            <w:tcW w:w="5460" w:type="dxa"/>
          </w:tcPr>
          <w:p w:rsidR="005279A8" w:rsidRDefault="00A1390C">
            <w:pPr>
              <w:spacing w:before="240" w:after="240" w:line="276" w:lineRule="auto"/>
              <w:jc w:val="both"/>
              <w:rPr>
                <w:sz w:val="24"/>
                <w:szCs w:val="24"/>
              </w:rPr>
            </w:pPr>
            <w:r>
              <w:rPr>
                <w:sz w:val="24"/>
                <w:szCs w:val="24"/>
              </w:rPr>
              <w:t>Komisyona mezun öğrenci ve dış paydaşın eklenebilir.</w:t>
            </w:r>
          </w:p>
          <w:p w:rsidR="005279A8" w:rsidRDefault="005279A8">
            <w:pPr>
              <w:spacing w:line="276" w:lineRule="auto"/>
              <w:rPr>
                <w:b/>
              </w:rPr>
            </w:pPr>
          </w:p>
        </w:tc>
      </w:tr>
      <w:tr w:rsidR="005279A8">
        <w:tc>
          <w:tcPr>
            <w:tcW w:w="555" w:type="dxa"/>
          </w:tcPr>
          <w:p w:rsidR="005279A8" w:rsidRDefault="00A1390C">
            <w:pPr>
              <w:spacing w:line="276" w:lineRule="auto"/>
              <w:rPr>
                <w:b/>
              </w:rPr>
            </w:pPr>
            <w:r>
              <w:rPr>
                <w:b/>
              </w:rPr>
              <w:t>5</w:t>
            </w:r>
          </w:p>
        </w:tc>
        <w:tc>
          <w:tcPr>
            <w:tcW w:w="3405" w:type="dxa"/>
          </w:tcPr>
          <w:p w:rsidR="005279A8" w:rsidRDefault="00A1390C">
            <w:pPr>
              <w:pBdr>
                <w:top w:val="nil"/>
                <w:left w:val="nil"/>
                <w:bottom w:val="nil"/>
                <w:right w:val="nil"/>
                <w:between w:val="nil"/>
              </w:pBdr>
              <w:spacing w:line="276" w:lineRule="auto"/>
              <w:rPr>
                <w:b/>
              </w:rPr>
            </w:pPr>
            <w:r>
              <w:rPr>
                <w:b/>
              </w:rPr>
              <w:t>Paydaşlardan alınan geribildirimlerin hangi alanlarda kontrol ve önlem almada kullanılacağının belirlenmemesi</w:t>
            </w:r>
          </w:p>
        </w:tc>
        <w:tc>
          <w:tcPr>
            <w:tcW w:w="5460" w:type="dxa"/>
          </w:tcPr>
          <w:p w:rsidR="005279A8" w:rsidRDefault="00A1390C">
            <w:pPr>
              <w:spacing w:before="240" w:after="240" w:line="276" w:lineRule="auto"/>
              <w:jc w:val="both"/>
              <w:rPr>
                <w:b/>
              </w:rPr>
            </w:pPr>
            <w:r>
              <w:rPr>
                <w:sz w:val="24"/>
                <w:szCs w:val="24"/>
              </w:rPr>
              <w:t>Anketlerden elde edilen sonuçların Kalite Güvence Sistemi kapsamında yer alan tüm ana başlıklara olan katkılarının ayrı ayrı açıklanması fayda sağlayacağı düşünülmektedir. (Örneğin, yeni mezun anket ile program çıktılarının değerlendirilmesi devamında gerekiyorsa müfredat güncellenmesinin yapılması)</w:t>
            </w:r>
          </w:p>
        </w:tc>
      </w:tr>
      <w:tr w:rsidR="005279A8">
        <w:tc>
          <w:tcPr>
            <w:tcW w:w="555" w:type="dxa"/>
          </w:tcPr>
          <w:p w:rsidR="005279A8" w:rsidRDefault="00A1390C">
            <w:pPr>
              <w:spacing w:line="276" w:lineRule="auto"/>
              <w:rPr>
                <w:b/>
              </w:rPr>
            </w:pPr>
            <w:r>
              <w:rPr>
                <w:b/>
              </w:rPr>
              <w:t>6</w:t>
            </w:r>
          </w:p>
        </w:tc>
        <w:tc>
          <w:tcPr>
            <w:tcW w:w="3405" w:type="dxa"/>
          </w:tcPr>
          <w:p w:rsidR="005279A8" w:rsidRDefault="00A1390C">
            <w:pPr>
              <w:pBdr>
                <w:top w:val="nil"/>
                <w:left w:val="nil"/>
                <w:bottom w:val="nil"/>
                <w:right w:val="nil"/>
                <w:between w:val="nil"/>
              </w:pBdr>
              <w:spacing w:line="276" w:lineRule="auto"/>
              <w:rPr>
                <w:b/>
              </w:rPr>
            </w:pPr>
            <w:r>
              <w:rPr>
                <w:b/>
              </w:rPr>
              <w:t>Öğrencilere sunulan Mentörlük ve kariyer sohbetleri gibi uygulamalar belirtilmekle birlikte yeterli düzeyde kanıtların verilmemesi</w:t>
            </w:r>
          </w:p>
        </w:tc>
        <w:tc>
          <w:tcPr>
            <w:tcW w:w="5460" w:type="dxa"/>
          </w:tcPr>
          <w:p w:rsidR="005279A8" w:rsidRDefault="005279A8">
            <w:pPr>
              <w:spacing w:before="240" w:after="240" w:line="276" w:lineRule="auto"/>
              <w:jc w:val="both"/>
              <w:rPr>
                <w:b/>
              </w:rPr>
            </w:pPr>
          </w:p>
        </w:tc>
      </w:tr>
      <w:tr w:rsidR="005279A8">
        <w:tc>
          <w:tcPr>
            <w:tcW w:w="555" w:type="dxa"/>
          </w:tcPr>
          <w:p w:rsidR="005279A8" w:rsidRDefault="00A1390C">
            <w:pPr>
              <w:spacing w:line="276" w:lineRule="auto"/>
              <w:rPr>
                <w:b/>
              </w:rPr>
            </w:pPr>
            <w:r>
              <w:rPr>
                <w:b/>
              </w:rPr>
              <w:t>7</w:t>
            </w:r>
          </w:p>
        </w:tc>
        <w:tc>
          <w:tcPr>
            <w:tcW w:w="3405" w:type="dxa"/>
          </w:tcPr>
          <w:p w:rsidR="005279A8" w:rsidRDefault="00A1390C">
            <w:pPr>
              <w:spacing w:line="276" w:lineRule="auto"/>
              <w:rPr>
                <w:b/>
              </w:rPr>
            </w:pPr>
            <w:r>
              <w:rPr>
                <w:b/>
              </w:rPr>
              <w:t>Memnuniyet oranları geribildirimlerin ölçülmesine karşın sonuçların değerlendirilmesi ve eylem planlarının bulunmaması</w:t>
            </w:r>
          </w:p>
        </w:tc>
        <w:tc>
          <w:tcPr>
            <w:tcW w:w="5460" w:type="dxa"/>
          </w:tcPr>
          <w:p w:rsidR="005279A8" w:rsidRDefault="00A1390C">
            <w:pPr>
              <w:spacing w:before="240" w:after="240" w:line="276" w:lineRule="auto"/>
              <w:jc w:val="both"/>
              <w:rPr>
                <w:sz w:val="24"/>
                <w:szCs w:val="24"/>
              </w:rPr>
            </w:pPr>
            <w:r>
              <w:rPr>
                <w:sz w:val="24"/>
                <w:szCs w:val="24"/>
              </w:rPr>
              <w:t xml:space="preserve">Mezun ve İşveren memnuniyeti anketi konusunda raporda sunulmuş olan tabloya katılımcı sayıları ile birlikte 2022-2026 Stratejik Planında yer alan </w:t>
            </w:r>
            <w:r>
              <w:rPr>
                <w:sz w:val="24"/>
                <w:szCs w:val="24"/>
              </w:rPr>
              <w:lastRenderedPageBreak/>
              <w:t>memnuniyet oranına yönelik yüzde verilerinin eklenebilir.</w:t>
            </w:r>
          </w:p>
        </w:tc>
      </w:tr>
      <w:tr w:rsidR="005279A8">
        <w:tc>
          <w:tcPr>
            <w:tcW w:w="555" w:type="dxa"/>
          </w:tcPr>
          <w:p w:rsidR="005279A8" w:rsidRDefault="00A1390C">
            <w:pPr>
              <w:spacing w:line="276" w:lineRule="auto"/>
              <w:rPr>
                <w:b/>
              </w:rPr>
            </w:pPr>
            <w:r>
              <w:rPr>
                <w:b/>
              </w:rPr>
              <w:lastRenderedPageBreak/>
              <w:t>8</w:t>
            </w:r>
          </w:p>
        </w:tc>
        <w:tc>
          <w:tcPr>
            <w:tcW w:w="3405" w:type="dxa"/>
          </w:tcPr>
          <w:p w:rsidR="005279A8" w:rsidRDefault="00A1390C">
            <w:pPr>
              <w:spacing w:line="276" w:lineRule="auto"/>
              <w:rPr>
                <w:b/>
              </w:rPr>
            </w:pPr>
            <w:r>
              <w:rPr>
                <w:b/>
              </w:rPr>
              <w:t>BİDR kapsamında verilen kanıtlara ulaşılmaması</w:t>
            </w:r>
          </w:p>
        </w:tc>
        <w:tc>
          <w:tcPr>
            <w:tcW w:w="5460" w:type="dxa"/>
          </w:tcPr>
          <w:p w:rsidR="005279A8" w:rsidRDefault="00A1390C">
            <w:pPr>
              <w:spacing w:before="240" w:after="240" w:line="276" w:lineRule="auto"/>
              <w:jc w:val="both"/>
              <w:rPr>
                <w:b/>
              </w:rPr>
            </w:pPr>
            <w:r>
              <w:rPr>
                <w:sz w:val="24"/>
                <w:szCs w:val="24"/>
              </w:rPr>
              <w:t xml:space="preserve">Raporda sunulmuş olan tüm kanıtlar, saha ziyareti sırasında sunulmuş olmakla birlikte, kantıların link kontrolünün yapılmasının fayda sağlayacağı düşünülmektedir. </w:t>
            </w:r>
          </w:p>
        </w:tc>
      </w:tr>
    </w:tbl>
    <w:p w:rsidR="005279A8" w:rsidRDefault="005279A8">
      <w:pPr>
        <w:rPr>
          <w:b/>
        </w:rPr>
      </w:pPr>
    </w:p>
    <w:p w:rsidR="005279A8" w:rsidRDefault="00A1390C">
      <w:pPr>
        <w:rPr>
          <w:rFonts w:ascii="Calibri" w:hAnsi="Calibri"/>
          <w:color w:val="000000"/>
        </w:rPr>
      </w:pPr>
      <w:r>
        <w:rPr>
          <w:b/>
        </w:rPr>
        <w:t>B. EĞİTİM-ÖĞRETİM</w:t>
      </w:r>
      <w:r>
        <w:t xml:space="preserve">  </w:t>
      </w:r>
    </w:p>
    <w:p w:rsidR="005279A8" w:rsidRDefault="00A1390C">
      <w:pPr>
        <w:spacing w:before="240" w:after="240"/>
      </w:pPr>
      <w:r>
        <w:t xml:space="preserve">Fakülte tarafından hazırlanan BİDR'da Eğitim-Öğretim başlığı altında yer alan ölçütler bazında yapılan faaliyetler aşağıdaki şekilde değerlendirilmiştir. </w:t>
      </w:r>
    </w:p>
    <w:p w:rsidR="005279A8" w:rsidRDefault="00A1390C">
      <w:pPr>
        <w:spacing w:before="240" w:after="120"/>
      </w:pPr>
      <w:r>
        <w:t>1. Programların eğitim amaçlarına ve öğrenme çıktılarına ulaşmasının ölçülmesi ve gözden geçirilmesi faaliyetleri kapsamında; paydaşlardan görüş alınmasına yönelik ‘Eğitim-Öğretim Değerlendirme Anketleri’ uygulamaların sonuçlarıyla yapılan iyileştirmeler raporda ve  kanıtlarda rastlanmamıştır. Bu uygulamanın haricinde aynı amaca hizmet eden mezunların programdan memnuniyetleri, program değerlendirmeleri ve mezunların iş bulabilme oranları ile iş verenlerin değerlendirmesine yönelik ‘Yeni Mezun Program Değerlendirme Anketi’, ‘Mezun Program Değerlendirme Anketi’ ve ‘Mezun Çalıştıran Değerlendirme Anketi’ gibi uygulamalarla paydaşlardan geri bildirimlerin alınmasının ve güncel olmadığı, söz konusu anket ve raporların ilgili yıla göre düzenlenmesi ve  paydaşlarla değerlendirmesinin program güncelleme ve iyileştirme çalışmalarının yapılabilmesi konusunda önemli olduğu düşünülmektedir.</w:t>
      </w:r>
    </w:p>
    <w:p w:rsidR="005279A8" w:rsidRDefault="00A1390C">
      <w:pPr>
        <w:spacing w:before="240" w:after="120"/>
      </w:pPr>
      <w:r>
        <w:t>2. Programlardaki zorunlu, seçmeli ve alan dışı derslerin yönetilmesi için Stratejik Planda izlenecek performans göstergelerinin hedeflerine ulaşma düzeyinin ve ulaşılamadıysa ulaşılamama sebeplerine ilişkin nedenlerin ifade edilmesinin işleyiş açısından önemli olduğu düşünülmektedir.</w:t>
      </w:r>
    </w:p>
    <w:p w:rsidR="005279A8" w:rsidRDefault="00A1390C">
      <w:pPr>
        <w:spacing w:before="240" w:after="120"/>
      </w:pPr>
      <w:r>
        <w:t>3. Eğitim-Öğretim programlarında staj uygulamalarının olması ve bu uygulamaların tanımlı süreçlerinin paydaşlara duyurulması güçlü yön olarak değerlendirilmektedir; fakat stajların paydaşlarla birlikte değerlendirilmesi (Staj İşveren Değerlendirme Anketi, Öğrenci Staj Değerlendirme Anketi), önlemlerin alınması ve iyileştirilmesine yönelik kısıtlı bilgiye ulaşılmıştır.</w:t>
      </w:r>
    </w:p>
    <w:p w:rsidR="005279A8" w:rsidRDefault="00A1390C">
      <w:pPr>
        <w:spacing w:before="240" w:after="120"/>
      </w:pPr>
      <w:r>
        <w:t>4. Çift anadal, yandal konusunda öğrencilerin bilgilendirildiği sözlü olarak ifade edilmiş olmakla birlikte bilgilendirme süreçlerinin anlatılması ve bu süreçlerin işleyişine dair web sitesi vb. kanıtların sunulmasının faydalı olacağı değerlendirilmektedir.</w:t>
      </w:r>
    </w:p>
    <w:p w:rsidR="005279A8" w:rsidRDefault="00A1390C">
      <w:pPr>
        <w:spacing w:before="240" w:after="240"/>
      </w:pPr>
      <w:r>
        <w:t xml:space="preserve">5. Öğrencilere sunulan destekler ölçütünde; öğrenci sorunlarının belirlenmesi, değerlendirilmesi ve çözümüne yönelik “Akademik Danışmanlık Sistemi’’ ile ilgili tanımlı süreçlerin olması ve Öğrenci Danışmanları Kurulu Raporu adı altında paydaşlara duyurulması güçlü yön olarak değerlendirilmektedir. Fakat bu toplantılardaki değerlendirmeler sonucunda yapılan </w:t>
      </w:r>
      <w:r>
        <w:lastRenderedPageBreak/>
        <w:t>iyileştirmelerin sadece bölüm bazında kaldığı ve bu konudaki çevrimin tam olarak kapatılmadığı değerlendirilmektedir.</w:t>
      </w:r>
    </w:p>
    <w:p w:rsidR="005279A8" w:rsidRDefault="005279A8">
      <w:pPr>
        <w:spacing w:before="240" w:after="240"/>
      </w:pPr>
    </w:p>
    <w:tbl>
      <w:tblPr>
        <w:tblStyle w:val="af9"/>
        <w:tblW w:w="942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735"/>
        <w:gridCol w:w="4875"/>
        <w:gridCol w:w="3810"/>
      </w:tblGrid>
      <w:tr w:rsidR="005279A8">
        <w:trPr>
          <w:trHeight w:val="285"/>
        </w:trPr>
        <w:tc>
          <w:tcPr>
            <w:tcW w:w="735" w:type="dxa"/>
            <w:tcBorders>
              <w:top w:val="single" w:sz="5" w:space="0" w:color="4A66AC"/>
              <w:left w:val="single" w:sz="5" w:space="0" w:color="4A66AC"/>
              <w:bottom w:val="single" w:sz="5" w:space="0" w:color="83B9C2"/>
              <w:right w:val="single" w:sz="5" w:space="0" w:color="000000"/>
            </w:tcBorders>
            <w:tcMar>
              <w:top w:w="0" w:type="dxa"/>
              <w:left w:w="100" w:type="dxa"/>
              <w:bottom w:w="0" w:type="dxa"/>
              <w:right w:w="100" w:type="dxa"/>
            </w:tcMar>
          </w:tcPr>
          <w:p w:rsidR="005279A8" w:rsidRDefault="00A1390C">
            <w:pPr>
              <w:spacing w:before="240" w:after="240"/>
            </w:pPr>
            <w:r>
              <w:t xml:space="preserve"> </w:t>
            </w:r>
          </w:p>
        </w:tc>
        <w:tc>
          <w:tcPr>
            <w:tcW w:w="4875" w:type="dxa"/>
            <w:tcBorders>
              <w:top w:val="single" w:sz="5" w:space="0" w:color="4A66AC"/>
              <w:left w:val="nil"/>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Gelişmeye Açık Yanlar</w:t>
            </w:r>
          </w:p>
        </w:tc>
        <w:tc>
          <w:tcPr>
            <w:tcW w:w="3810" w:type="dxa"/>
            <w:tcBorders>
              <w:top w:val="single" w:sz="5" w:space="0" w:color="4A66AC"/>
              <w:left w:val="nil"/>
              <w:bottom w:val="single" w:sz="5" w:space="0" w:color="83B9C2"/>
              <w:right w:val="single" w:sz="5" w:space="0" w:color="4A66AC"/>
            </w:tcBorders>
            <w:tcMar>
              <w:top w:w="0" w:type="dxa"/>
              <w:left w:w="100" w:type="dxa"/>
              <w:bottom w:w="0" w:type="dxa"/>
              <w:right w:w="100" w:type="dxa"/>
            </w:tcMar>
          </w:tcPr>
          <w:p w:rsidR="005279A8" w:rsidRDefault="00A1390C">
            <w:pPr>
              <w:spacing w:before="240" w:after="240"/>
              <w:rPr>
                <w:b/>
              </w:rPr>
            </w:pPr>
            <w:r>
              <w:rPr>
                <w:b/>
              </w:rPr>
              <w:t>Öneri</w:t>
            </w:r>
          </w:p>
        </w:tc>
      </w:tr>
      <w:tr w:rsidR="005279A8">
        <w:trPr>
          <w:trHeight w:val="3330"/>
        </w:trPr>
        <w:tc>
          <w:tcPr>
            <w:tcW w:w="735" w:type="dxa"/>
            <w:tcBorders>
              <w:top w:val="nil"/>
              <w:left w:val="single" w:sz="5" w:space="0" w:color="4A66AC"/>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1</w:t>
            </w:r>
          </w:p>
        </w:tc>
        <w:tc>
          <w:tcPr>
            <w:tcW w:w="4875" w:type="dxa"/>
            <w:tcBorders>
              <w:top w:val="nil"/>
              <w:left w:val="nil"/>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Programların eğitim amaçlarına ve öğrenme çıktılarına ulaşmasının ölçülmesi ve gözden geçirme faaliyetleri kapsamında yapılan uygulamaların değerlendirmesinde elde edilen sonuçların iyileştirme süreçlerinde kullanılmaması</w:t>
            </w:r>
          </w:p>
        </w:tc>
        <w:tc>
          <w:tcPr>
            <w:tcW w:w="3810" w:type="dxa"/>
            <w:tcBorders>
              <w:top w:val="nil"/>
              <w:left w:val="nil"/>
              <w:bottom w:val="single" w:sz="5" w:space="0" w:color="83B9C2"/>
              <w:right w:val="single" w:sz="5" w:space="0" w:color="4A66AC"/>
            </w:tcBorders>
            <w:tcMar>
              <w:top w:w="0" w:type="dxa"/>
              <w:left w:w="100" w:type="dxa"/>
              <w:bottom w:w="0" w:type="dxa"/>
              <w:right w:w="100" w:type="dxa"/>
            </w:tcMar>
          </w:tcPr>
          <w:p w:rsidR="005279A8" w:rsidRDefault="00A1390C">
            <w:pPr>
              <w:spacing w:before="240" w:after="240"/>
            </w:pPr>
            <w:r>
              <w:t>Bu konudaki paydaş görüşlerinin alınmasına yönelik anketlerin (Eğitim-Öğretim Değerlendirme Anketi, Mezun Program Değerlendirme Anketi, Mezun Çalıştıran Değerlendirme Anketi, Yeni Mezun Program Değerlendirme Anketi) düzenli olarak uygulanması, değerlendirilmesi ve iyileştirmelerin yapılması</w:t>
            </w:r>
          </w:p>
        </w:tc>
      </w:tr>
      <w:tr w:rsidR="005279A8">
        <w:trPr>
          <w:trHeight w:val="1665"/>
        </w:trPr>
        <w:tc>
          <w:tcPr>
            <w:tcW w:w="735" w:type="dxa"/>
            <w:tcBorders>
              <w:top w:val="nil"/>
              <w:left w:val="single" w:sz="5" w:space="0" w:color="4A66AC"/>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2</w:t>
            </w:r>
          </w:p>
        </w:tc>
        <w:tc>
          <w:tcPr>
            <w:tcW w:w="4875" w:type="dxa"/>
            <w:tcBorders>
              <w:top w:val="nil"/>
              <w:left w:val="nil"/>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Programlarda yer alan zorunlu, seçmeli ve alan dışı derslerin izlenmesi ve değerlendirilmesinden elde edilen sonuçların iyileştirme süreçlerinde kullanılmaması</w:t>
            </w:r>
          </w:p>
        </w:tc>
        <w:tc>
          <w:tcPr>
            <w:tcW w:w="3810" w:type="dxa"/>
            <w:tcBorders>
              <w:top w:val="nil"/>
              <w:left w:val="nil"/>
              <w:bottom w:val="single" w:sz="5" w:space="0" w:color="83B9C2"/>
              <w:right w:val="single" w:sz="5" w:space="0" w:color="4A66AC"/>
            </w:tcBorders>
            <w:tcMar>
              <w:top w:w="0" w:type="dxa"/>
              <w:left w:w="100" w:type="dxa"/>
              <w:bottom w:w="0" w:type="dxa"/>
              <w:right w:w="100" w:type="dxa"/>
            </w:tcMar>
          </w:tcPr>
          <w:p w:rsidR="005279A8" w:rsidRDefault="00A1390C">
            <w:pPr>
              <w:spacing w:before="240" w:after="240"/>
            </w:pPr>
            <w:r>
              <w:t>Öğrencilerin öğrenim çıktıları ve paydaşların görüşleri baz alınarak seçmeli derslerin oranının artırılması ve güncel olarak değerlendirilerek iyileştirmelerin yapılması</w:t>
            </w:r>
          </w:p>
        </w:tc>
      </w:tr>
      <w:tr w:rsidR="005279A8">
        <w:trPr>
          <w:trHeight w:val="2775"/>
        </w:trPr>
        <w:tc>
          <w:tcPr>
            <w:tcW w:w="735" w:type="dxa"/>
            <w:tcBorders>
              <w:top w:val="nil"/>
              <w:left w:val="single" w:sz="5" w:space="0" w:color="4A66AC"/>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3</w:t>
            </w:r>
          </w:p>
        </w:tc>
        <w:tc>
          <w:tcPr>
            <w:tcW w:w="4875" w:type="dxa"/>
            <w:tcBorders>
              <w:top w:val="nil"/>
              <w:left w:val="nil"/>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Eğitim-Öğretim programlarında uygulanan stajların paydaşlara birlikte değerlendirilmesi, önlemlerin alınması ve iyileştirilmesine yönelik çevrimin kapatılmaması</w:t>
            </w:r>
          </w:p>
        </w:tc>
        <w:tc>
          <w:tcPr>
            <w:tcW w:w="3810" w:type="dxa"/>
            <w:tcBorders>
              <w:top w:val="nil"/>
              <w:left w:val="nil"/>
              <w:bottom w:val="single" w:sz="5" w:space="0" w:color="83B9C2"/>
              <w:right w:val="single" w:sz="5" w:space="0" w:color="4A66AC"/>
            </w:tcBorders>
            <w:tcMar>
              <w:top w:w="0" w:type="dxa"/>
              <w:left w:w="100" w:type="dxa"/>
              <w:bottom w:w="0" w:type="dxa"/>
              <w:right w:w="100" w:type="dxa"/>
            </w:tcMar>
          </w:tcPr>
          <w:p w:rsidR="005279A8" w:rsidRDefault="00A1390C">
            <w:pPr>
              <w:spacing w:before="240" w:after="240"/>
            </w:pPr>
            <w:r>
              <w:t>Stajların eğitim amaçlarına ve öğrenim çıktılarına ulaşmasının ölçülmesinde kullanılan anketlerin (Staj İşveren Değerlendirme Anketi, Öğrenci Staj Değerlendirme Anketi) düzenli olarak uygulanması, değerlendirilmesi ve iyileştirmelerin yapılması</w:t>
            </w:r>
          </w:p>
        </w:tc>
      </w:tr>
      <w:tr w:rsidR="005279A8">
        <w:trPr>
          <w:trHeight w:val="1110"/>
        </w:trPr>
        <w:tc>
          <w:tcPr>
            <w:tcW w:w="735" w:type="dxa"/>
            <w:tcBorders>
              <w:top w:val="nil"/>
              <w:left w:val="single" w:sz="5" w:space="0" w:color="4A66AC"/>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4</w:t>
            </w:r>
          </w:p>
        </w:tc>
        <w:tc>
          <w:tcPr>
            <w:tcW w:w="4875" w:type="dxa"/>
            <w:tcBorders>
              <w:top w:val="nil"/>
              <w:left w:val="nil"/>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ÇAP ve Yan dal bilgilendirme süreçlerinin işleyişi ve uygulanmasına yönelik ilke ve kuralların belirlenmesi</w:t>
            </w:r>
          </w:p>
        </w:tc>
        <w:tc>
          <w:tcPr>
            <w:tcW w:w="3810" w:type="dxa"/>
            <w:tcBorders>
              <w:top w:val="nil"/>
              <w:left w:val="nil"/>
              <w:bottom w:val="single" w:sz="5" w:space="0" w:color="83B9C2"/>
              <w:right w:val="single" w:sz="5" w:space="0" w:color="4A66AC"/>
            </w:tcBorders>
            <w:tcMar>
              <w:top w:w="0" w:type="dxa"/>
              <w:left w:w="100" w:type="dxa"/>
              <w:bottom w:w="0" w:type="dxa"/>
              <w:right w:w="100" w:type="dxa"/>
            </w:tcMar>
          </w:tcPr>
          <w:p w:rsidR="005279A8" w:rsidRDefault="00A1390C">
            <w:pPr>
              <w:spacing w:before="240" w:after="240"/>
            </w:pPr>
            <w:r>
              <w:t>Sürecin açıklandığı bilgilendirme metniyle birlikte sürecin içeren web sitesi bağlantısı eklenebilir</w:t>
            </w:r>
          </w:p>
        </w:tc>
      </w:tr>
      <w:tr w:rsidR="005279A8">
        <w:trPr>
          <w:trHeight w:val="1395"/>
        </w:trPr>
        <w:tc>
          <w:tcPr>
            <w:tcW w:w="735" w:type="dxa"/>
            <w:tcBorders>
              <w:top w:val="nil"/>
              <w:left w:val="single" w:sz="5" w:space="0" w:color="4A66AC"/>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5</w:t>
            </w:r>
          </w:p>
        </w:tc>
        <w:tc>
          <w:tcPr>
            <w:tcW w:w="4875" w:type="dxa"/>
            <w:tcBorders>
              <w:top w:val="nil"/>
              <w:left w:val="nil"/>
              <w:bottom w:val="single" w:sz="5" w:space="0" w:color="83B9C2"/>
              <w:right w:val="single" w:sz="5" w:space="0" w:color="000000"/>
            </w:tcBorders>
            <w:tcMar>
              <w:top w:w="0" w:type="dxa"/>
              <w:left w:w="100" w:type="dxa"/>
              <w:bottom w:w="0" w:type="dxa"/>
              <w:right w:w="100" w:type="dxa"/>
            </w:tcMar>
          </w:tcPr>
          <w:p w:rsidR="005279A8" w:rsidRDefault="00A1390C">
            <w:pPr>
              <w:spacing w:before="240" w:after="240"/>
              <w:rPr>
                <w:b/>
              </w:rPr>
            </w:pPr>
            <w:r>
              <w:rPr>
                <w:b/>
              </w:rPr>
              <w:t xml:space="preserve">Mezun ilişkileri ile ilgili bazı uygulamalar olmakla birlikte sürdürülebilir bir yapıda olmaması, </w:t>
            </w:r>
          </w:p>
        </w:tc>
        <w:tc>
          <w:tcPr>
            <w:tcW w:w="3810" w:type="dxa"/>
            <w:tcBorders>
              <w:top w:val="nil"/>
              <w:left w:val="nil"/>
              <w:bottom w:val="single" w:sz="5" w:space="0" w:color="83B9C2"/>
              <w:right w:val="single" w:sz="5" w:space="0" w:color="4A66AC"/>
            </w:tcBorders>
            <w:tcMar>
              <w:top w:w="0" w:type="dxa"/>
              <w:left w:w="100" w:type="dxa"/>
              <w:bottom w:w="0" w:type="dxa"/>
              <w:right w:w="100" w:type="dxa"/>
            </w:tcMar>
          </w:tcPr>
          <w:p w:rsidR="005279A8" w:rsidRDefault="00A1390C">
            <w:pPr>
              <w:spacing w:before="240" w:after="240"/>
            </w:pPr>
            <w:r>
              <w:t>Mezunlarla olan iletişimin nasıl sağlandığına dair bir bilgilendirme metni ve web sayfasında yer alan ‘Mezunlar’ sekmesinin güncel tutulması</w:t>
            </w:r>
          </w:p>
        </w:tc>
      </w:tr>
      <w:tr w:rsidR="005279A8">
        <w:trPr>
          <w:trHeight w:val="2220"/>
        </w:trPr>
        <w:tc>
          <w:tcPr>
            <w:tcW w:w="735" w:type="dxa"/>
            <w:tcBorders>
              <w:top w:val="nil"/>
              <w:left w:val="single" w:sz="5" w:space="0" w:color="4A66AC"/>
              <w:bottom w:val="single" w:sz="5" w:space="0" w:color="4A66AC"/>
              <w:right w:val="single" w:sz="5" w:space="0" w:color="000000"/>
            </w:tcBorders>
            <w:tcMar>
              <w:top w:w="0" w:type="dxa"/>
              <w:left w:w="100" w:type="dxa"/>
              <w:bottom w:w="0" w:type="dxa"/>
              <w:right w:w="100" w:type="dxa"/>
            </w:tcMar>
          </w:tcPr>
          <w:p w:rsidR="005279A8" w:rsidRDefault="00A1390C">
            <w:pPr>
              <w:spacing w:before="240" w:after="240"/>
              <w:rPr>
                <w:b/>
              </w:rPr>
            </w:pPr>
            <w:r>
              <w:rPr>
                <w:b/>
              </w:rPr>
              <w:lastRenderedPageBreak/>
              <w:t>6</w:t>
            </w:r>
          </w:p>
        </w:tc>
        <w:tc>
          <w:tcPr>
            <w:tcW w:w="4875" w:type="dxa"/>
            <w:tcBorders>
              <w:top w:val="nil"/>
              <w:left w:val="nil"/>
              <w:bottom w:val="single" w:sz="5" w:space="0" w:color="4A66AC"/>
              <w:right w:val="single" w:sz="5" w:space="0" w:color="000000"/>
            </w:tcBorders>
            <w:tcMar>
              <w:top w:w="0" w:type="dxa"/>
              <w:left w:w="100" w:type="dxa"/>
              <w:bottom w:w="0" w:type="dxa"/>
              <w:right w:w="100" w:type="dxa"/>
            </w:tcMar>
          </w:tcPr>
          <w:p w:rsidR="005279A8" w:rsidRDefault="00A1390C">
            <w:pPr>
              <w:spacing w:before="240" w:after="240"/>
              <w:rPr>
                <w:b/>
              </w:rPr>
            </w:pPr>
            <w:r>
              <w:rPr>
                <w:b/>
              </w:rPr>
              <w:t>Akademik Danışmanlık Sistemi ile ilgili tanımlı süreçlerin olması ve Öğrenci Danışmanları Kurulu Raporu adı altında paydaşlara duyurulması güçlü yön olarak değerlendirilmektedir. Ancak bu uygulamanın sadece bölüm bazında iyileştirme gereken çevrimlerinin kapatıldığı görülürken, diğer iyileştirmelere yönelik bilgilere ulaşılamamıştır.</w:t>
            </w:r>
          </w:p>
        </w:tc>
        <w:tc>
          <w:tcPr>
            <w:tcW w:w="3810" w:type="dxa"/>
            <w:tcBorders>
              <w:top w:val="nil"/>
              <w:left w:val="nil"/>
              <w:bottom w:val="single" w:sz="5" w:space="0" w:color="4A66AC"/>
              <w:right w:val="single" w:sz="5" w:space="0" w:color="4A66AC"/>
            </w:tcBorders>
            <w:tcMar>
              <w:top w:w="0" w:type="dxa"/>
              <w:left w:w="100" w:type="dxa"/>
              <w:bottom w:w="0" w:type="dxa"/>
              <w:right w:w="100" w:type="dxa"/>
            </w:tcMar>
          </w:tcPr>
          <w:p w:rsidR="005279A8" w:rsidRDefault="00A1390C">
            <w:pPr>
              <w:spacing w:before="240" w:after="240"/>
            </w:pPr>
            <w:r>
              <w:t>Bu uygulama ile yapılan değerlendirme sonrası gereken iyileştirmelerin yapılarak çevrimin kapatılması</w:t>
            </w:r>
          </w:p>
        </w:tc>
      </w:tr>
    </w:tbl>
    <w:p w:rsidR="005279A8" w:rsidRDefault="005279A8">
      <w:pPr>
        <w:jc w:val="left"/>
        <w:rPr>
          <w:b/>
        </w:rPr>
      </w:pPr>
    </w:p>
    <w:p w:rsidR="005279A8" w:rsidRDefault="00A1390C">
      <w:r>
        <w:rPr>
          <w:b/>
        </w:rPr>
        <w:t>C. ARAŞTIRMA GELİŞTİRME</w:t>
      </w:r>
      <w:r>
        <w:t xml:space="preserve"> </w:t>
      </w:r>
    </w:p>
    <w:p w:rsidR="005279A8" w:rsidRDefault="00A1390C">
      <w:r>
        <w:t xml:space="preserve">Fakültenin paydaşlarla belirlenmiş bir araştırma politikası, hedefleri, stratejisi ve öncelikli araştırma alanlarının belirlenmesi güçlü bir yön olarak değerlendirilmektedir. Bu kapsamda 2022-2026 SP hazırlanması, yıllara göre izlenmesi ve değerlendirilmesi olumlu olarak değerlendirilmiştir. </w:t>
      </w:r>
    </w:p>
    <w:p w:rsidR="005279A8" w:rsidRDefault="00A1390C">
      <w:r>
        <w:t xml:space="preserve">SP'de belirlenen hedefler ve bu hedeflere ulaşılmasında PG izlenmektedir. Bu kapsamda birçok proje, araştırma makalesi, bilimsel faaliyetler ve diğer faaliyetler yapılmakla birlikte Araştırma çıktılarının yerel, bölgesel ve ulusal kalkınma hedeflerine etkisi değerlendirilme ve bağlı iyileştirmelerin yapılmasına ihtiyaç duyulmaktadır. </w:t>
      </w:r>
    </w:p>
    <w:p w:rsidR="005279A8" w:rsidRDefault="00A1390C">
      <w:r>
        <w:t xml:space="preserve">SP Değerlendirme raporunda Ar-Ge faaliyetleri değerlendirilmekle birlikte Fakültenin Araştırma Performansı kapsamında yapılan faaliyetlerin paydaşlarla birlikte değerlendirilmesi ve iyileştirme yapılmasına ilişkin herhangi bir kanıta rastlanılmamıştır. </w:t>
      </w:r>
    </w:p>
    <w:p w:rsidR="005279A8" w:rsidRDefault="00A1390C">
      <w:r>
        <w:t>Fakülte bünyesinde kadrolu öğretim elemanlarının yaptıkları bilimsel çalışmalar kanıt olarak belirtilmekle birlikte Fakültenin araştırma politikası, hedefleri ve stratejisinin benimsenmesi ve hedeflere erişilmesi kapsamında paydaşlarla birlikte değerlendirme ve iyileştirme yapılmasına yönelik uygulamaların yapılmasının yararlı olacağı değerlendirilmektedir.</w:t>
      </w:r>
    </w:p>
    <w:p w:rsidR="005279A8" w:rsidRDefault="005279A8"/>
    <w:p w:rsidR="005279A8" w:rsidRDefault="00A1390C">
      <w:r>
        <w:rPr>
          <w:b/>
        </w:rPr>
        <w:t>C.1 Gelişmeye açık yanlar</w:t>
      </w:r>
      <w:r>
        <w:t xml:space="preserve"> </w:t>
      </w:r>
    </w:p>
    <w:tbl>
      <w:tblPr>
        <w:tblStyle w:val="afa"/>
        <w:tblW w:w="9735"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330"/>
        <w:gridCol w:w="5310"/>
        <w:gridCol w:w="4095"/>
      </w:tblGrid>
      <w:tr w:rsidR="005279A8">
        <w:tc>
          <w:tcPr>
            <w:tcW w:w="330" w:type="dxa"/>
          </w:tcPr>
          <w:p w:rsidR="005279A8" w:rsidRDefault="005279A8">
            <w:pPr>
              <w:spacing w:line="276" w:lineRule="auto"/>
              <w:rPr>
                <w:b/>
              </w:rPr>
            </w:pPr>
          </w:p>
        </w:tc>
        <w:tc>
          <w:tcPr>
            <w:tcW w:w="5310" w:type="dxa"/>
          </w:tcPr>
          <w:p w:rsidR="005279A8" w:rsidRDefault="00A1390C">
            <w:pPr>
              <w:spacing w:line="276" w:lineRule="auto"/>
              <w:rPr>
                <w:b/>
              </w:rPr>
            </w:pPr>
            <w:r>
              <w:rPr>
                <w:b/>
              </w:rPr>
              <w:t>Gelişmeye Açık Yanlar</w:t>
            </w:r>
          </w:p>
        </w:tc>
        <w:tc>
          <w:tcPr>
            <w:tcW w:w="4095" w:type="dxa"/>
          </w:tcPr>
          <w:p w:rsidR="005279A8" w:rsidRDefault="00A1390C">
            <w:pPr>
              <w:spacing w:line="276" w:lineRule="auto"/>
              <w:rPr>
                <w:b/>
              </w:rPr>
            </w:pPr>
            <w:r>
              <w:rPr>
                <w:b/>
              </w:rPr>
              <w:t xml:space="preserve">Öneri </w:t>
            </w:r>
          </w:p>
        </w:tc>
      </w:tr>
      <w:tr w:rsidR="005279A8">
        <w:tc>
          <w:tcPr>
            <w:tcW w:w="330" w:type="dxa"/>
          </w:tcPr>
          <w:p w:rsidR="005279A8" w:rsidRDefault="00A1390C">
            <w:pPr>
              <w:spacing w:line="276" w:lineRule="auto"/>
              <w:rPr>
                <w:b/>
              </w:rPr>
            </w:pPr>
            <w:r>
              <w:rPr>
                <w:b/>
              </w:rPr>
              <w:t>1</w:t>
            </w:r>
          </w:p>
        </w:tc>
        <w:tc>
          <w:tcPr>
            <w:tcW w:w="5310" w:type="dxa"/>
          </w:tcPr>
          <w:p w:rsidR="005279A8" w:rsidRDefault="00A1390C">
            <w:pPr>
              <w:spacing w:line="276" w:lineRule="auto"/>
              <w:rPr>
                <w:b/>
              </w:rPr>
            </w:pPr>
            <w:r>
              <w:rPr>
                <w:b/>
              </w:rPr>
              <w:t>Kurumun araştırma politikası, hedefleri ve stratejisinin benimsenmesi ve hedeflere erişilmesi paydaşlar tarafından benimsenmesi ve içselleştirilmesine yönelik faaliyetlerin bulunmaması</w:t>
            </w:r>
          </w:p>
        </w:tc>
        <w:tc>
          <w:tcPr>
            <w:tcW w:w="4095" w:type="dxa"/>
          </w:tcPr>
          <w:p w:rsidR="005279A8" w:rsidRDefault="00A1390C">
            <w:r>
              <w:t>İlgili öğretim elemanları ile işbirliği içinde çalışılması amacıyla toplantıların yapılması ve bu toplantıların raporlanması</w:t>
            </w:r>
          </w:p>
        </w:tc>
      </w:tr>
      <w:tr w:rsidR="005279A8">
        <w:tc>
          <w:tcPr>
            <w:tcW w:w="330" w:type="dxa"/>
          </w:tcPr>
          <w:p w:rsidR="005279A8" w:rsidRDefault="00A1390C">
            <w:pPr>
              <w:spacing w:line="276" w:lineRule="auto"/>
              <w:rPr>
                <w:b/>
              </w:rPr>
            </w:pPr>
            <w:r>
              <w:rPr>
                <w:b/>
              </w:rPr>
              <w:t>2</w:t>
            </w:r>
          </w:p>
        </w:tc>
        <w:tc>
          <w:tcPr>
            <w:tcW w:w="5310" w:type="dxa"/>
          </w:tcPr>
          <w:p w:rsidR="005279A8" w:rsidRDefault="00A1390C">
            <w:pPr>
              <w:keepNext/>
              <w:keepLines/>
              <w:pBdr>
                <w:top w:val="nil"/>
                <w:left w:val="nil"/>
                <w:bottom w:val="nil"/>
                <w:right w:val="nil"/>
                <w:between w:val="nil"/>
              </w:pBdr>
              <w:spacing w:before="120" w:line="276" w:lineRule="auto"/>
              <w:ind w:right="63"/>
              <w:rPr>
                <w:rFonts w:ascii="Calibri" w:hAnsi="Calibri"/>
                <w:b/>
                <w:sz w:val="28"/>
                <w:szCs w:val="28"/>
              </w:rPr>
            </w:pPr>
            <w:bookmarkStart w:id="3" w:name="_heading=h.a7qkjrpfluhw" w:colFirst="0" w:colLast="0"/>
            <w:bookmarkEnd w:id="3"/>
            <w:r>
              <w:rPr>
                <w:rFonts w:ascii="Calibri" w:hAnsi="Calibri"/>
                <w:b/>
                <w:sz w:val="24"/>
                <w:szCs w:val="24"/>
              </w:rPr>
              <w:t>Ar-Ge kapsamında yapılan faaliyetlere  ilişkin yerel, bölgesel ve ulusal kalkınma hedeflerine etkisi değerlendirilme ve bağlı iyileştirmelerin yapılmaması</w:t>
            </w:r>
          </w:p>
        </w:tc>
        <w:tc>
          <w:tcPr>
            <w:tcW w:w="4095" w:type="dxa"/>
          </w:tcPr>
          <w:p w:rsidR="005279A8" w:rsidRDefault="00A1390C">
            <w:r>
              <w:t>Ar-Ge kapsamında yapılan faaliyetlerin kalkınma hedeflerine etkisinin değerlendirilmesi ve düzenli olarak izlenmesi, toplumsal katılımı artırmak için kamuoyu, sivil toplum kuruluşları ve diğer paydaşlarla işbirliğinin sağlanması</w:t>
            </w:r>
          </w:p>
        </w:tc>
      </w:tr>
      <w:tr w:rsidR="005279A8">
        <w:trPr>
          <w:trHeight w:val="848"/>
        </w:trPr>
        <w:tc>
          <w:tcPr>
            <w:tcW w:w="330" w:type="dxa"/>
          </w:tcPr>
          <w:p w:rsidR="005279A8" w:rsidRDefault="00A1390C">
            <w:pPr>
              <w:spacing w:line="276" w:lineRule="auto"/>
              <w:rPr>
                <w:b/>
              </w:rPr>
            </w:pPr>
            <w:r>
              <w:rPr>
                <w:b/>
              </w:rPr>
              <w:lastRenderedPageBreak/>
              <w:t>3</w:t>
            </w:r>
          </w:p>
        </w:tc>
        <w:tc>
          <w:tcPr>
            <w:tcW w:w="5310" w:type="dxa"/>
          </w:tcPr>
          <w:p w:rsidR="005279A8" w:rsidRDefault="00A1390C">
            <w:pPr>
              <w:keepNext/>
              <w:keepLines/>
              <w:pBdr>
                <w:top w:val="nil"/>
                <w:left w:val="nil"/>
                <w:bottom w:val="nil"/>
                <w:right w:val="nil"/>
                <w:between w:val="nil"/>
              </w:pBdr>
              <w:spacing w:before="120" w:line="276" w:lineRule="auto"/>
              <w:ind w:right="63"/>
              <w:rPr>
                <w:rFonts w:ascii="Calibri" w:hAnsi="Calibri"/>
                <w:b/>
                <w:sz w:val="24"/>
                <w:szCs w:val="24"/>
              </w:rPr>
            </w:pPr>
            <w:r>
              <w:rPr>
                <w:rFonts w:ascii="Calibri" w:hAnsi="Calibri"/>
                <w:b/>
                <w:sz w:val="24"/>
                <w:szCs w:val="24"/>
              </w:rPr>
              <w:t>Öğretim elemanlarının araştırma performanslarının ayrı ayrı değerlendirme ve gerekli iyileştirmelerin yapılmasına yönelik mekanizmanın olmaması</w:t>
            </w:r>
          </w:p>
        </w:tc>
        <w:tc>
          <w:tcPr>
            <w:tcW w:w="4095" w:type="dxa"/>
          </w:tcPr>
          <w:p w:rsidR="005279A8" w:rsidRDefault="00A1390C">
            <w:r>
              <w:t>Öğretim elemanlarının performans değerlendirmeleri analiz edilerek kanıt olarak sunulması</w:t>
            </w:r>
          </w:p>
        </w:tc>
      </w:tr>
    </w:tbl>
    <w:p w:rsidR="005279A8" w:rsidRDefault="005279A8">
      <w:pPr>
        <w:rPr>
          <w:b/>
          <w:highlight w:val="yellow"/>
        </w:rPr>
      </w:pPr>
    </w:p>
    <w:p w:rsidR="005279A8" w:rsidRDefault="00A1390C">
      <w:pPr>
        <w:rPr>
          <w:b/>
        </w:rPr>
      </w:pPr>
      <w:r>
        <w:rPr>
          <w:b/>
        </w:rPr>
        <w:t>D. TOPLUMSAL KATKI</w:t>
      </w:r>
    </w:p>
    <w:p w:rsidR="005279A8" w:rsidRDefault="00A1390C">
      <w:pPr>
        <w:spacing w:after="0"/>
      </w:pPr>
      <w:r>
        <w:t>Fakültenin paydaşlarla belirlenmiş bir Toplumsal Katkı politikası, hedefleri, göstergelerin belirlenmesi güçlü bir yön olarak değerlendirilmektedir.</w:t>
      </w:r>
    </w:p>
    <w:p w:rsidR="005279A8" w:rsidRDefault="005279A8">
      <w:pPr>
        <w:spacing w:after="0"/>
      </w:pPr>
    </w:p>
    <w:p w:rsidR="005279A8" w:rsidRDefault="00A1390C">
      <w:pPr>
        <w:spacing w:after="0"/>
      </w:pPr>
      <w:r>
        <w:t xml:space="preserve">Bu kapsamda 2022-2026 SP hazırlanması, yıllara göre izlenmesi ve değerlendirilmesi olumlu olarak değerlendirilmiştir. </w:t>
      </w:r>
    </w:p>
    <w:p w:rsidR="005279A8" w:rsidRDefault="005279A8">
      <w:pPr>
        <w:spacing w:after="0"/>
      </w:pPr>
    </w:p>
    <w:p w:rsidR="005279A8" w:rsidRDefault="00A1390C">
      <w:pPr>
        <w:spacing w:after="0"/>
      </w:pPr>
      <w:r>
        <w:t xml:space="preserve">Toplumsal katkı hedeflerinin gerçekleşme düzeyi ve performansı Fakülte Kalite Komisyonu Toplumsal Katkı Alt Çalışma Grubu tarafından izlenmesi ile ilgili bir mekanizmanın varlığı güçlü bir yön olarak değerlendirilmektedir. Ancak, faaliyetlerin paydaşlara birlikte değerlendirme ve iyileştirmeler yapılması kapsamında çevrimlerin kapatılmadığı değerlendirilmektedir. </w:t>
      </w:r>
    </w:p>
    <w:p w:rsidR="005279A8" w:rsidRDefault="005279A8">
      <w:pPr>
        <w:spacing w:after="0"/>
      </w:pPr>
    </w:p>
    <w:p w:rsidR="005279A8" w:rsidRDefault="00A1390C">
      <w:pPr>
        <w:spacing w:after="0"/>
      </w:pPr>
      <w:r>
        <w:t xml:space="preserve">Fakülte bünyesinde birçok faaliyet yürütülmekle birlikte bu faaliyetlerin etkililiğinin izlenmesi, değerlendirilmesi ve iyileştirilmesine yönelik herhangi bir mekanizma bulunmamaktadır. </w:t>
      </w:r>
    </w:p>
    <w:p w:rsidR="005279A8" w:rsidRDefault="005279A8">
      <w:pPr>
        <w:spacing w:after="0"/>
        <w:rPr>
          <w:highlight w:val="yellow"/>
        </w:rPr>
      </w:pPr>
    </w:p>
    <w:p w:rsidR="005279A8" w:rsidRDefault="00A1390C">
      <w:r>
        <w:rPr>
          <w:b/>
        </w:rPr>
        <w:t>C.1 Gelişmeye açık yanlar</w:t>
      </w:r>
      <w:r>
        <w:t xml:space="preserve"> </w:t>
      </w:r>
    </w:p>
    <w:tbl>
      <w:tblPr>
        <w:tblStyle w:val="afb"/>
        <w:tblW w:w="9420"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55"/>
        <w:gridCol w:w="5880"/>
        <w:gridCol w:w="2985"/>
      </w:tblGrid>
      <w:tr w:rsidR="005279A8">
        <w:tc>
          <w:tcPr>
            <w:tcW w:w="555" w:type="dxa"/>
          </w:tcPr>
          <w:p w:rsidR="005279A8" w:rsidRDefault="005279A8">
            <w:pPr>
              <w:spacing w:line="276" w:lineRule="auto"/>
              <w:rPr>
                <w:b/>
              </w:rPr>
            </w:pPr>
          </w:p>
        </w:tc>
        <w:tc>
          <w:tcPr>
            <w:tcW w:w="5880" w:type="dxa"/>
          </w:tcPr>
          <w:p w:rsidR="005279A8" w:rsidRDefault="00A1390C">
            <w:pPr>
              <w:spacing w:line="276" w:lineRule="auto"/>
              <w:rPr>
                <w:b/>
              </w:rPr>
            </w:pPr>
            <w:r>
              <w:rPr>
                <w:b/>
              </w:rPr>
              <w:t>Gelişmeye Açık Yanlar</w:t>
            </w:r>
          </w:p>
        </w:tc>
        <w:tc>
          <w:tcPr>
            <w:tcW w:w="2985" w:type="dxa"/>
          </w:tcPr>
          <w:p w:rsidR="005279A8" w:rsidRDefault="00A1390C">
            <w:pPr>
              <w:spacing w:line="276" w:lineRule="auto"/>
              <w:rPr>
                <w:b/>
              </w:rPr>
            </w:pPr>
            <w:r>
              <w:rPr>
                <w:b/>
              </w:rPr>
              <w:t xml:space="preserve">Öneri </w:t>
            </w:r>
          </w:p>
        </w:tc>
      </w:tr>
      <w:tr w:rsidR="005279A8">
        <w:tc>
          <w:tcPr>
            <w:tcW w:w="555" w:type="dxa"/>
          </w:tcPr>
          <w:p w:rsidR="005279A8" w:rsidRDefault="00A1390C">
            <w:pPr>
              <w:spacing w:line="276" w:lineRule="auto"/>
              <w:rPr>
                <w:b/>
              </w:rPr>
            </w:pPr>
            <w:r>
              <w:rPr>
                <w:b/>
              </w:rPr>
              <w:t>1</w:t>
            </w:r>
          </w:p>
        </w:tc>
        <w:tc>
          <w:tcPr>
            <w:tcW w:w="5880" w:type="dxa"/>
          </w:tcPr>
          <w:p w:rsidR="005279A8" w:rsidRDefault="00A1390C">
            <w:pPr>
              <w:spacing w:line="276" w:lineRule="auto"/>
              <w:rPr>
                <w:b/>
              </w:rPr>
            </w:pPr>
            <w:r>
              <w:rPr>
                <w:b/>
              </w:rPr>
              <w:t>Topluma katkı faaliyetlerinin paydaşlara birlikte değerlendirme ve iyileştirmeler yapılması kapsamında çevrimlerin kapatılmaması</w:t>
            </w:r>
          </w:p>
        </w:tc>
        <w:tc>
          <w:tcPr>
            <w:tcW w:w="2985" w:type="dxa"/>
          </w:tcPr>
          <w:p w:rsidR="005279A8" w:rsidRDefault="005279A8">
            <w:pPr>
              <w:spacing w:line="276" w:lineRule="auto"/>
            </w:pPr>
          </w:p>
          <w:p w:rsidR="005279A8" w:rsidRDefault="005279A8">
            <w:pPr>
              <w:spacing w:line="276" w:lineRule="auto"/>
              <w:rPr>
                <w:b/>
              </w:rPr>
            </w:pPr>
          </w:p>
        </w:tc>
      </w:tr>
    </w:tbl>
    <w:p w:rsidR="005279A8" w:rsidRDefault="005279A8">
      <w:pPr>
        <w:rPr>
          <w:b/>
          <w:highlight w:val="yellow"/>
        </w:rPr>
      </w:pPr>
    </w:p>
    <w:p w:rsidR="005279A8" w:rsidRDefault="00A1390C">
      <w:pPr>
        <w:rPr>
          <w:b/>
        </w:rPr>
      </w:pPr>
      <w:r>
        <w:rPr>
          <w:b/>
        </w:rPr>
        <w:t>SONUÇ ve DEĞERLENDİRME</w:t>
      </w:r>
    </w:p>
    <w:p w:rsidR="005279A8" w:rsidRDefault="00A1390C">
      <w:r>
        <w:t xml:space="preserve">BİDR'ın hazırlanmasında ve saha ziyareti kapsamında başta Kalite Komisyonu Başkanı ve üyeleri, fakülte Dekanı ve yardımcıları, akademik ve idari personel ile öğrencilerin takımımızın değerlendirmelerine yaptıkları katkılardan dolayı teşekkür ederiz. </w:t>
      </w:r>
    </w:p>
    <w:p w:rsidR="005279A8" w:rsidRDefault="00A1390C">
      <w:r>
        <w:t>Takımımız tarafından Güzel Sanatlar Tasarım ve Mimarlık Fakültesi (GSTMF)'nin BİDR'in incelenmesinde ve saha ziyaretinde Kalite Güvence Sistemi(KGS) kapsamında yapılan planlamalar ve uygulamalar elde edilen verilerin izlenmesi önemli bir adım olarak değerlendirilmektedir. Kalite Komisyonu tarafından Kalite Kültürünün akademik ve idari personelde yaygınlaşması konusunda yapılan faaliyetler takdir edilecek düzeydedir. Ancak bunun sürdürülebilir bir şekilde yürütülmesinde Fakülte üst yönetimine önemli görevler düştüğü aşikardır.</w:t>
      </w:r>
    </w:p>
    <w:p w:rsidR="005279A8" w:rsidRDefault="00A1390C">
      <w:r>
        <w:lastRenderedPageBreak/>
        <w:t>KGS kapsamında çok sayıda uygulama ve mekanizmalardan elde edilen veriler Kalite Komisyonu tarafından izlenmekle birlikte değerlendirme ve önlem alma kapsamında üst yönetimin etkin bir şekilde sahiplenmesinin önemli olduğu değerlendirilmektedir.</w:t>
      </w:r>
    </w:p>
    <w:p w:rsidR="005279A8" w:rsidRDefault="00A1390C">
      <w:r>
        <w:t xml:space="preserve">Eğitim-Öğretim kapsamında programların tasarımı, güncellenmesi, ders kazanımları, ölçme ve değerlendirme, öğretim  yöntem ve teknikleri, AKTS gibi alanlarını bütüncül olarak kapsayan Öz değerlendirme Raporu (ÖDR) hazırlanması, Akran Değerlendirme ve Akreditasyon programlarına dahil edilmesi çalışmalarına başlanılması elzemdir. </w:t>
      </w:r>
    </w:p>
    <w:p w:rsidR="005279A8" w:rsidRDefault="00A1390C">
      <w:r>
        <w:t>Araştırma ve Geliştirme politikası/stratejisi kapsamında yapılan faaliyetlerin fakülte, bölüm ve akademik personel düzeyinde izlenmesi, paydaşlar ile birlikte değerlendirilmesi ve önlemler alınmasına yönelik faaliyetleri kapsayan Araştırma Performansın iyileştirilmesine yönelik mekanizmaların geliştirilmesinin yararlı olacağı düşünülmektedir.</w:t>
      </w:r>
    </w:p>
    <w:p w:rsidR="005279A8" w:rsidRDefault="00A1390C">
      <w:r>
        <w:t xml:space="preserve">Toplumsal Katkı kapsamında çok sayıda yürütülen faaliyetler bulunmakla birlikte paydaşlara birlikte değerlendirme ve iyileştirmeler yapılması kapsamında çevrimlerin kapatılmasının önem taşımaktadır. </w:t>
      </w:r>
    </w:p>
    <w:p w:rsidR="005279A8" w:rsidRDefault="00A1390C">
      <w:r>
        <w:t>Değerlendirme takımımız tarafından yapılan değerlendirmeler sonucunda ortaya konulan iyileştirmeye açık yönlerin giderilmesi kapsamında yapılan öneriler ve bu doğrultuda yapılacak faaliyetlere katkı sunacağına inanmaktayız.</w:t>
      </w:r>
    </w:p>
    <w:p w:rsidR="005279A8" w:rsidRDefault="005279A8"/>
    <w:sectPr w:rsidR="005279A8">
      <w:footerReference w:type="default" r:id="rId8"/>
      <w:headerReference w:type="first" r:id="rId9"/>
      <w:pgSz w:w="11906" w:h="16838"/>
      <w:pgMar w:top="1474" w:right="991" w:bottom="1474" w:left="1474" w:header="851"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53" w:rsidRDefault="00752653">
      <w:pPr>
        <w:spacing w:after="0" w:line="240" w:lineRule="auto"/>
      </w:pPr>
      <w:r>
        <w:separator/>
      </w:r>
    </w:p>
  </w:endnote>
  <w:endnote w:type="continuationSeparator" w:id="0">
    <w:p w:rsidR="00752653" w:rsidRDefault="0075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A8" w:rsidRDefault="00A1390C">
    <w:pPr>
      <w:pBdr>
        <w:top w:val="nil"/>
        <w:left w:val="nil"/>
        <w:bottom w:val="nil"/>
        <w:right w:val="nil"/>
        <w:between w:val="nil"/>
      </w:pBdr>
      <w:tabs>
        <w:tab w:val="center" w:pos="4680"/>
        <w:tab w:val="right" w:pos="9360"/>
      </w:tabs>
      <w:spacing w:after="0" w:line="240" w:lineRule="auto"/>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B1374A">
      <w:rPr>
        <w:rFonts w:ascii="Calibri" w:hAnsi="Calibri"/>
        <w:noProof/>
        <w:color w:val="000000"/>
      </w:rPr>
      <w:t>10</w:t>
    </w:r>
    <w:r>
      <w:rPr>
        <w:rFonts w:ascii="Calibri" w:hAnsi="Calibri"/>
        <w:color w:val="000000"/>
      </w:rPr>
      <w:fldChar w:fldCharType="end"/>
    </w:r>
  </w:p>
  <w:p w:rsidR="005279A8" w:rsidRDefault="00A1390C">
    <w:pPr>
      <w:pBdr>
        <w:top w:val="nil"/>
        <w:left w:val="nil"/>
        <w:bottom w:val="nil"/>
        <w:right w:val="nil"/>
        <w:between w:val="nil"/>
      </w:pBdr>
      <w:tabs>
        <w:tab w:val="center" w:pos="4680"/>
        <w:tab w:val="right" w:pos="9360"/>
      </w:tabs>
      <w:spacing w:after="0" w:line="240" w:lineRule="auto"/>
      <w:ind w:hanging="1276"/>
      <w:rPr>
        <w:rFonts w:ascii="Calibri" w:hAnsi="Calibri"/>
        <w:color w:val="000000"/>
      </w:rPr>
    </w:pPr>
    <w:r>
      <w:rPr>
        <w:rFonts w:ascii="Calibri" w:hAnsi="Calibri"/>
        <w:i/>
        <w:color w:val="000000"/>
        <w:sz w:val="20"/>
        <w:szCs w:val="20"/>
      </w:rPr>
      <w:t xml:space="preserve">             Toros Üniversitesi Kalite Koordinatörlüğü / Birim Geri Bildirim Raporu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53" w:rsidRDefault="00752653">
      <w:pPr>
        <w:spacing w:after="0" w:line="240" w:lineRule="auto"/>
      </w:pPr>
      <w:r>
        <w:separator/>
      </w:r>
    </w:p>
  </w:footnote>
  <w:footnote w:type="continuationSeparator" w:id="0">
    <w:p w:rsidR="00752653" w:rsidRDefault="0075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A8" w:rsidRDefault="00A1390C">
    <w:pPr>
      <w:pBdr>
        <w:top w:val="nil"/>
        <w:left w:val="nil"/>
        <w:bottom w:val="nil"/>
        <w:right w:val="nil"/>
        <w:between w:val="nil"/>
      </w:pBdr>
      <w:tabs>
        <w:tab w:val="center" w:pos="4680"/>
        <w:tab w:val="right" w:pos="9360"/>
      </w:tabs>
      <w:spacing w:after="0" w:line="240" w:lineRule="auto"/>
      <w:rPr>
        <w:rFonts w:ascii="Calibri" w:hAnsi="Calibri"/>
        <w:color w:val="000000"/>
      </w:rPr>
    </w:pPr>
    <w:r>
      <w:rPr>
        <w:rFonts w:ascii="Calibri" w:hAnsi="Calibri"/>
        <w:color w:val="000000"/>
      </w:rPr>
      <w:t xml:space="preserve">   </w:t>
    </w:r>
    <w:r>
      <w:rPr>
        <w:noProof/>
        <w:lang w:val="tr-TR"/>
      </w:rPr>
      <w:drawing>
        <wp:anchor distT="0" distB="0" distL="114300" distR="114300" simplePos="0" relativeHeight="251658240" behindDoc="0" locked="0" layoutInCell="1" hidden="0" allowOverlap="1">
          <wp:simplePos x="0" y="0"/>
          <wp:positionH relativeFrom="column">
            <wp:posOffset>5431155</wp:posOffset>
          </wp:positionH>
          <wp:positionV relativeFrom="paragraph">
            <wp:posOffset>56321</wp:posOffset>
          </wp:positionV>
          <wp:extent cx="563880" cy="59245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880" cy="592455"/>
                  </a:xfrm>
                  <a:prstGeom prst="rect">
                    <a:avLst/>
                  </a:prstGeom>
                  <a:ln/>
                </pic:spPr>
              </pic:pic>
            </a:graphicData>
          </a:graphic>
        </wp:anchor>
      </w:drawing>
    </w:r>
  </w:p>
  <w:p w:rsidR="005279A8" w:rsidRDefault="00A1390C">
    <w:pPr>
      <w:pBdr>
        <w:top w:val="nil"/>
        <w:left w:val="nil"/>
        <w:bottom w:val="nil"/>
        <w:right w:val="nil"/>
        <w:between w:val="nil"/>
      </w:pBdr>
      <w:tabs>
        <w:tab w:val="center" w:pos="4680"/>
        <w:tab w:val="right" w:pos="9360"/>
      </w:tabs>
      <w:spacing w:after="0" w:line="240" w:lineRule="auto"/>
      <w:rPr>
        <w:rFonts w:ascii="Calibri" w:hAnsi="Calibri"/>
        <w:color w:val="000000"/>
      </w:rPr>
    </w:pPr>
    <w:r>
      <w:rPr>
        <w:rFonts w:ascii="Calibri" w:hAnsi="Calibri"/>
        <w:color w:val="000000"/>
      </w:rPr>
      <w:t>TOROS ÜNİVERSİTESİ</w:t>
    </w:r>
  </w:p>
  <w:p w:rsidR="005279A8" w:rsidRDefault="00A1390C">
    <w:r>
      <w:t>KALİTE KOORDİNATÖRLÜĞÜ</w:t>
    </w:r>
    <w:r>
      <w:tab/>
    </w:r>
    <w:r>
      <w:tab/>
    </w:r>
    <w:r>
      <w:tab/>
    </w:r>
    <w:r>
      <w:tab/>
    </w:r>
    <w:r>
      <w:tab/>
      <w:t xml:space="preserve">                                                                                         </w:t>
    </w:r>
    <w:r>
      <w:tab/>
      <w:t xml:space="preserve">       </w:t>
    </w:r>
  </w:p>
  <w:p w:rsidR="005279A8" w:rsidRDefault="005279A8">
    <w:pPr>
      <w:pBdr>
        <w:top w:val="nil"/>
        <w:left w:val="nil"/>
        <w:bottom w:val="nil"/>
        <w:right w:val="nil"/>
        <w:between w:val="nil"/>
      </w:pBdr>
      <w:tabs>
        <w:tab w:val="center" w:pos="4680"/>
        <w:tab w:val="right" w:pos="9360"/>
      </w:tabs>
      <w:spacing w:after="0" w:line="240" w:lineRule="auto"/>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F618C"/>
    <w:multiLevelType w:val="multilevel"/>
    <w:tmpl w:val="0EDA1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A8"/>
    <w:rsid w:val="004D15F2"/>
    <w:rsid w:val="005279A8"/>
    <w:rsid w:val="00752653"/>
    <w:rsid w:val="00A1390C"/>
    <w:rsid w:val="00B13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7B0A"/>
  <w15:docId w15:val="{87BFDA3E-AE46-48C5-9C97-50BCD33C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F0"/>
    <w:rPr>
      <w:rFonts w:asciiTheme="minorHAnsi" w:hAnsiTheme="minorHAnsi"/>
    </w:rPr>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unhideWhenUsed/>
    <w:qFormat/>
    <w:rsid w:val="00B363A2"/>
    <w:pPr>
      <w:keepNext/>
      <w:keepLines/>
      <w:spacing w:before="200" w:after="0"/>
      <w:outlineLvl w:val="2"/>
    </w:pPr>
    <w:rPr>
      <w:rFonts w:asciiTheme="majorHAnsi" w:eastAsiaTheme="majorEastAsia" w:hAnsiTheme="majorHAnsi" w:cstheme="majorBidi"/>
      <w:b/>
      <w:bCs/>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cs="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rFonts w:cs="Times New Roman"/>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color w:val="000000"/>
      <w:lang w:val="tr-TR"/>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rPr>
  </w:style>
  <w:style w:type="paragraph" w:styleId="NormalWeb">
    <w:name w:val="Normal (Web)"/>
    <w:basedOn w:val="Normal"/>
    <w:uiPriority w:val="99"/>
    <w:unhideWhenUsed/>
    <w:rsid w:val="00B363A2"/>
    <w:pPr>
      <w:spacing w:after="0" w:line="240" w:lineRule="auto"/>
    </w:pPr>
    <w:rPr>
      <w:rFonts w:cs="Times New Roman"/>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39"/>
    <w:rsid w:val="00191DFE"/>
    <w:pPr>
      <w:spacing w:after="0" w:line="240" w:lineRule="auto"/>
    </w:pPr>
    <w:rPr>
      <w:rFonts w:asciiTheme="minorHAnsi" w:hAnsiTheme="minorHAns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2-Vurgu1">
    <w:name w:val="Medium Shading 2 Accent 1"/>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r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rPr>
      <w:lang w:val="tr-TR"/>
    </w:rPr>
  </w:style>
  <w:style w:type="paragraph" w:styleId="AralkYok">
    <w:name w:val="No Spacing"/>
    <w:uiPriority w:val="1"/>
    <w:qFormat/>
    <w:rsid w:val="00191DFE"/>
    <w:pPr>
      <w:spacing w:after="0" w:line="240" w:lineRule="auto"/>
    </w:pPr>
    <w:rPr>
      <w:lang w:val="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0">
    <w:basedOn w:val="TableNormal3"/>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1">
    <w:basedOn w:val="TableNormal3"/>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2">
    <w:basedOn w:val="TableNormal3"/>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3">
    <w:basedOn w:val="TableNormal3"/>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styleId="KlavuzuTablo4-Vurgu2">
    <w:name w:val="Grid Table 4 Accent 2"/>
    <w:basedOn w:val="NormalTablo"/>
    <w:uiPriority w:val="49"/>
    <w:rsid w:val="000A6280"/>
    <w:pPr>
      <w:spacing w:after="0" w:line="240" w:lineRule="auto"/>
      <w:jc w:val="left"/>
    </w:pPr>
    <w:rPr>
      <w:rFonts w:asciiTheme="minorHAnsi" w:eastAsiaTheme="minorHAnsi" w:hAnsiTheme="minorHAnsi" w:cstheme="minorBidi"/>
      <w:sz w:val="22"/>
      <w:szCs w:val="22"/>
      <w:lang w:val="tr-TR" w:eastAsia="en-US"/>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a4">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a5">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a6">
    <w:basedOn w:val="TableNormal3"/>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9">
    <w:basedOn w:val="TableNormal3"/>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a">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ab">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ac">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d">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e">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f">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f0">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af1">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af2">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f3">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f4">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f5">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f6">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af7">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af8">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f9">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fa">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 w:type="table" w:customStyle="1" w:styleId="afb">
    <w:basedOn w:val="TableNormal3"/>
    <w:pPr>
      <w:spacing w:after="0" w:line="240" w:lineRule="auto"/>
      <w:jc w:val="left"/>
    </w:pPr>
    <w:rPr>
      <w:color w:val="000000"/>
      <w:sz w:val="22"/>
      <w:szCs w:val="22"/>
    </w:rPr>
    <w:tblPr>
      <w:tblStyleRowBandSize w:val="1"/>
      <w:tblStyleColBandSize w:val="1"/>
      <w:tblCellMar>
        <w:left w:w="115" w:type="dxa"/>
        <w:right w:w="115" w:type="dxa"/>
      </w:tblCellMar>
    </w:tblPr>
    <w:tcPr>
      <w:shd w:val="clear" w:color="auto" w:fill="F2F4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gerlendirme-Sureci-ve-Rapor-Yazimi_ABO">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iWm70fjyty3BuHpzVpd42vspQ==">CgMxLjAyCGguZ2pkZ3hzMgloLjFmb2I5dGUyDmguYTdxa2pycGZsdWh3OAByITFZLW9WdHhveXhBNzI4VmJOTjFiSk5GUlAxVFBfbFNJSg==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3447</Words>
  <Characters>19648</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Rektörlük</cp:lastModifiedBy>
  <cp:revision>3</cp:revision>
  <dcterms:created xsi:type="dcterms:W3CDTF">2024-05-15T13:08:00Z</dcterms:created>
  <dcterms:modified xsi:type="dcterms:W3CDTF">2024-05-15T13:10:00Z</dcterms:modified>
</cp:coreProperties>
</file>