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
        <w:jc w:val="center"/>
      </w:pPr>
      <w:r>
        <w:rPr>
          <w:rFonts w:ascii="Times New Roman" w:cs="Times New Roman" w:eastAsia="Times New Roman" w:hAnsi="Times New Roman"/>
          <w:b/>
          <w:bCs/>
          <w:i w:val="false"/>
          <w:iCs w:val="false"/>
          <w:color w:val="000000"/>
          <w:sz w:val="28"/>
          <w:szCs w:val="28"/>
        </w:rPr>
        <w:t xml:space="preserve">T.C.</w:t>
      </w:r>
    </w:p>
    <w:p>
      <w:pPr>
        <w:spacing w:after="240"/>
        <w:jc w:val="center"/>
      </w:pPr>
      <w:r>
        <w:rPr>
          <w:rFonts w:ascii="Times New Roman" w:cs="Times New Roman" w:eastAsia="Times New Roman" w:hAnsi="Times New Roman"/>
          <w:b/>
          <w:bCs/>
          <w:i w:val="false"/>
          <w:iCs w:val="false"/>
          <w:color w:val="000000"/>
          <w:sz w:val="28"/>
          <w:szCs w:val="28"/>
        </w:rPr>
        <w:t xml:space="preserve">TOROS ÜNİVERSİTESİ</w:t>
      </w:r>
    </w:p>
    <w:p>
      <w:pPr>
        <w:spacing w:after="240" w:before="240"/>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428750" cy="1428750"/>
                    </a:xfrm>
                    <a:prstGeom prst="rect">
                      <a:avLst/>
                    </a:prstGeom>
                  </pic:spPr>
                </pic:pic>
              </a:graphicData>
            </a:graphic>
          </wp:inline>
        </w:drawing>
      </w:r>
    </w:p>
    <w:p>
      <w:pPr>
        <w:spacing w:after="360"/>
        <w:jc w:val="center"/>
      </w:pPr>
      <w:r>
        <w:rPr>
          <w:rFonts w:ascii="Times New Roman" w:cs="Times New Roman" w:eastAsia="Times New Roman" w:hAnsi="Times New Roman"/>
          <w:b/>
          <w:bCs/>
          <w:i w:val="false"/>
          <w:iCs w:val="false"/>
          <w:color w:val="000000"/>
          <w:sz w:val="30"/>
          <w:szCs w:val="30"/>
        </w:rPr>
        <w:t xml:space="preserve">TOROS ÜNİVERSİTESİ BÖLÜM FAALİYET RAPORU</w:t>
      </w:r>
    </w:p>
    <w:p>
      <w:pPr>
        <w:spacing w:after="200"/>
        <w:jc w:val="center"/>
      </w:pPr>
      <w:r>
        <w:rPr>
          <w:rFonts w:ascii="Times New Roman" w:cs="Times New Roman" w:eastAsia="Times New Roman" w:hAnsi="Times New Roman"/>
          <w:b/>
          <w:bCs/>
          <w:i w:val="false"/>
          <w:iCs w:val="false"/>
          <w:color w:val="000000"/>
          <w:sz w:val="32"/>
          <w:szCs w:val="32"/>
        </w:rPr>
        <w:t xml:space="preserve">[HEMŞİRELİK]</w:t>
      </w:r>
    </w:p>
    <w:p>
      <w:pPr>
        <w:spacing w:after="120"/>
        <w:jc w:val="center"/>
      </w:pPr>
      <w:r>
        <w:rPr>
          <w:rFonts w:ascii="Times New Roman" w:cs="Times New Roman" w:eastAsia="Times New Roman" w:hAnsi="Times New Roman"/>
          <w:b/>
          <w:bCs/>
          <w:i w:val="false"/>
          <w:iCs w:val="false"/>
          <w:color w:val="000000"/>
          <w:sz w:val="26"/>
          <w:szCs w:val="26"/>
        </w:rPr>
        <w:t xml:space="preserve">[SAĞLIK BİLİMLERİ FAKÜLTESİ]</w:t>
      </w:r>
    </w:p>
    <w:p>
      <w:pPr>
        <w:spacing w:after="120"/>
        <w:jc w:val="center"/>
      </w:pPr>
      <w:r>
        <w:rPr>
          <w:rFonts w:ascii="Times New Roman" w:cs="Times New Roman" w:eastAsia="Times New Roman" w:hAnsi="Times New Roman"/>
          <w:b/>
          <w:bCs/>
          <w:i w:val="false"/>
          <w:iCs w:val="false"/>
          <w:color w:val="000000"/>
          <w:sz w:val="26"/>
          <w:szCs w:val="26"/>
        </w:rPr>
        <w:t xml:space="preserve">[45 Evler Kampüsü]</w:t>
      </w:r>
    </w:p>
    <w:p>
      <w:pPr>
        <w:spacing w:after="120"/>
        <w:jc w:val="center"/>
      </w:pPr>
      <w:r>
        <w:rPr>
          <w:rFonts w:ascii="Times New Roman" w:cs="Times New Roman" w:eastAsia="Times New Roman" w:hAnsi="Times New Roman"/>
          <w:b/>
          <w:bCs/>
          <w:i w:val="false"/>
          <w:iCs w:val="false"/>
          <w:color w:val="000000"/>
          <w:sz w:val="26"/>
          <w:szCs w:val="26"/>
        </w:rPr>
        <w:t xml:space="preserve">[2026]</w:t>
      </w:r>
    </w:p>
    <w:p>
      <w:r>
        <w:br w:type="page"/>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7800"/>
        <w:gridCol w:w="1560"/>
      </w:tblGrid>
      <w:tr>
        <w:tc>
          <w:tcPr>
            <w:tcW w:type="dxa" w:w="780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İÇİNDEKİLER</w:t>
            </w:r>
          </w:p>
        </w:tc>
        <w:tc>
          <w:tcPr>
            <w:tcW w:type="dxa" w:w="15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SAYFA NO</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bCs/>
                <w:i w:val="false"/>
                <w:iCs w:val="false"/>
                <w:color w:val="000000"/>
                <w:sz w:val="24"/>
                <w:szCs w:val="24"/>
              </w:rPr>
              <w:t xml:space="preserve">BİRİM YÖNETİCİSİ SUNUŞU</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bCs/>
                <w:i w:val="false"/>
                <w:iCs w:val="false"/>
                <w:color w:val="000000"/>
                <w:sz w:val="24"/>
                <w:szCs w:val="24"/>
              </w:rPr>
              <w:t xml:space="preserve">3</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bCs/>
                <w:i w:val="false"/>
                <w:iCs w:val="false"/>
                <w:color w:val="000000"/>
                <w:sz w:val="24"/>
                <w:szCs w:val="24"/>
              </w:rPr>
              <w:t xml:space="preserve">I-GENEL BİLGİLER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bCs/>
                <w:i w:val="false"/>
                <w:iCs w:val="false"/>
                <w:color w:val="000000"/>
                <w:sz w:val="24"/>
                <w:szCs w:val="24"/>
              </w:rPr>
              <w:t xml:space="preserve">4</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A-Misyon ve Vizyon</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4</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B-Yetki, Görev ve Sorumluluklar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4</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C-İdareye İlişkin Bilgiler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10</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1.  Fiziksel Yapı</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10</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2.  Örgüt Yapısı</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11</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3.  Bilgi ve Teknolojik Kaynaklar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14</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4.  İnsan Kaynakları</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14</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5.  Sunulan Hizmetler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15</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6.  Yönetim ve İç Kontrol</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16</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bCs/>
                <w:i w:val="false"/>
                <w:iCs w:val="false"/>
                <w:color w:val="000000"/>
                <w:sz w:val="24"/>
                <w:szCs w:val="24"/>
              </w:rPr>
              <w:t xml:space="preserve">II-STRATEJİK AMAÇ VE HEDEFLER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bCs/>
                <w:i w:val="false"/>
                <w:iCs w:val="false"/>
                <w:color w:val="000000"/>
                <w:sz w:val="24"/>
                <w:szCs w:val="24"/>
              </w:rPr>
              <w:t xml:space="preserve">16</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A. Birim Amaç ve Hedefleri</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16</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B. Temel Politikalar ve Öncelikler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18</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bCs/>
                <w:i w:val="false"/>
                <w:iCs w:val="false"/>
                <w:color w:val="000000"/>
                <w:sz w:val="24"/>
                <w:szCs w:val="24"/>
              </w:rPr>
              <w:t xml:space="preserve">III. FAALİYETLERE İLİŞKİN BİLGİ VE DEĞERLENDİRMELER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bCs/>
                <w:i w:val="false"/>
                <w:iCs w:val="false"/>
                <w:color w:val="000000"/>
                <w:sz w:val="24"/>
                <w:szCs w:val="24"/>
              </w:rPr>
              <w:t xml:space="preserve">18</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A- Mali Bilgiler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18</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B- Performans Bilgileri</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18</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val="false"/>
                <w:bCs w:val="false"/>
                <w:i w:val="false"/>
                <w:iCs w:val="false"/>
                <w:color w:val="000000"/>
                <w:sz w:val="24"/>
                <w:szCs w:val="24"/>
              </w:rPr>
              <w:t xml:space="preserve">1- Faaliyet ve Proje Bilgileri</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val="false"/>
                <w:bCs w:val="false"/>
                <w:i w:val="false"/>
                <w:iCs w:val="false"/>
                <w:color w:val="000000"/>
                <w:sz w:val="24"/>
                <w:szCs w:val="24"/>
              </w:rPr>
              <w:t xml:space="preserve">19</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bCs/>
                <w:i w:val="false"/>
                <w:iCs w:val="false"/>
                <w:color w:val="000000"/>
                <w:sz w:val="24"/>
                <w:szCs w:val="24"/>
              </w:rPr>
              <w:t xml:space="preserve">IV-KURUMSAL KABİLİYET VE KAPASİTENİN DEĞERLENDİRİLMESİ</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bCs/>
                <w:i w:val="false"/>
                <w:iCs w:val="false"/>
                <w:color w:val="000000"/>
                <w:sz w:val="24"/>
                <w:szCs w:val="24"/>
              </w:rPr>
              <w:t xml:space="preserve">19</w:t>
            </w:r>
          </w:p>
        </w:tc>
      </w:tr>
      <w:tr>
        <w:tc>
          <w:tcPr>
            <w:tcW w:type="dxa" w:w="7800"/>
            <w:gridSpan w:val="1"/>
            <w:tcMar>
              <w:top w:type="dxa" w:w="40"/>
              <w:left w:type="dxa" w:w="80"/>
              <w:bottom w:type="dxa" w:w="40"/>
              <w:right w:type="dxa" w:w="80"/>
            </w:tcMar>
            <w:vAlign w:val="center"/>
          </w:tcPr>
          <w:p>
            <w:pPr>
              <w:spacing w:after="0" w:before="0" w:line="300"/>
              <w:jc w:val="both"/>
            </w:pPr>
            <w:r>
              <w:rPr>
                <w:rFonts w:ascii="Times New Roman" w:cs="Times New Roman" w:eastAsia="Times New Roman" w:hAnsi="Times New Roman"/>
                <w:b/>
                <w:bCs/>
                <w:i w:val="false"/>
                <w:iCs w:val="false"/>
                <w:color w:val="000000"/>
                <w:sz w:val="24"/>
                <w:szCs w:val="24"/>
              </w:rPr>
              <w:t xml:space="preserve">V-ÖNERİLER VE TEDBİRLER</w:t>
            </w:r>
          </w:p>
        </w:tc>
        <w:tc>
          <w:tcPr>
            <w:tcW w:type="dxa" w:w="1560"/>
            <w:gridSpan w:val="1"/>
            <w:tcMar>
              <w:top w:type="dxa" w:w="40"/>
              <w:left w:type="dxa" w:w="80"/>
              <w:bottom w:type="dxa" w:w="40"/>
              <w:right w:type="dxa" w:w="80"/>
            </w:tcMar>
            <w:vAlign w:val="center"/>
          </w:tcPr>
          <w:p>
            <w:pPr>
              <w:spacing w:after="0" w:before="0" w:line="300"/>
              <w:jc w:val="center"/>
            </w:pPr>
            <w:r>
              <w:rPr>
                <w:rFonts w:ascii="Times New Roman" w:cs="Times New Roman" w:eastAsia="Times New Roman" w:hAnsi="Times New Roman"/>
                <w:b/>
                <w:bCs/>
                <w:i w:val="false"/>
                <w:iCs w:val="false"/>
                <w:color w:val="000000"/>
                <w:sz w:val="24"/>
                <w:szCs w:val="24"/>
              </w:rPr>
              <w:t xml:space="preserve">20</w:t>
            </w:r>
          </w:p>
        </w:tc>
      </w:tr>
    </w:tbl>
    <w:p>
      <w:r>
        <w:br w:type="page"/>
      </w:r>
    </w:p>
    <w:p>
      <w:pPr>
        <w:spacing w:after="120" w:before="240"/>
        <w:jc w:val="left"/>
      </w:pPr>
      <w:r>
        <w:rPr>
          <w:rFonts w:ascii="Times New Roman" w:cs="Times New Roman" w:eastAsia="Times New Roman" w:hAnsi="Times New Roman"/>
          <w:b/>
          <w:bCs/>
          <w:i w:val="false"/>
          <w:iCs w:val="false"/>
          <w:color w:val="000000"/>
          <w:sz w:val="26"/>
          <w:szCs w:val="26"/>
        </w:rPr>
        <w:t xml:space="preserve">BİRİM YÖNETİCİSİ SUNUŞU</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Sağlık Bilimleri Yüksekokulu bünyesinde 2014-2015 Eğitim-Öğretim yılında Sağlık Kurumları Yönetimi Bölümüne ilk kez öğrenci alınmış, 2015 yılında bölümün adı Sağlık Yönetimi olarak değiştirilmiş ve 2015-2016 Eğitim-Öğretim yılında bölüm bu adla ilk kez öğrenci almıştır. 2015-2016 Eğitim-Öğretim yılında Hemşirelik ve Sağlık Hizmetleri Bölümüne ilk kez öğrenci alarak eğitim-öğretime başlamıştır. Toros Üniversitesi 45 Evler Kampüsünde yer alan Fakültemiz, ilk mezunlarını 2017-2018 eğitim-öğretim yılında vermiştir.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Hemşirelik Bölümünün misyonu "Hemşirelik mesleğinin gerektirdiği profesyonel görevleri yerine getirebilen, bağımsız karar verebilen, yasal sorumluluklarını bilen ve sahip çıkan, takım çalışmasını karşılıklı sevgi, saygı ve mükemmeliyet çerçevesinde yürütebilen, birey, aile ve toplumun değerlerine, etik ilkelere ve hasta haklarına saygılı, araştırmacı, güvenilir, girişimci, eleştirel düşünebilen, aktif, sorgulayıcı, kendine güvenen, ülkemizin ve üniversitemizin adını ulusal ve uluslararası platformda duyurabilecek uygulayıcı, eğitimci, yönetici ve lider bireyler yetiştirmektir." olarak belirlenmiştir. Öğrencilerimiz, mesleğimizi en iyi şekilde icra etmeyi öğrenebilmek için 4 yıllık eğitim ve öğrenim yaşantılarında hemşirelik mesleğine ilişkin teorik ve uygulamalı dersler alarak, hastanelerde, ana çocuk sağlığı ve toplum sağlığı merkezlerinde klinik/saha uygulamaları yapmaktadır. Ayrıca öğrencilerimiz sekizinci yarıyılda, mesleki uyumu kolaylaştırmak, mesleki kimliği daha da geliştirmek amacıyla hemşirelik uygulamaları 1 ve 2 kapsamında iki dönem boyunca sadece klinik uygulama yapmaktadır.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Bölümümüz, Bologna Süreci ve kalite çalışmaları doğrultusunda eğitim, öğretim ve araştırma faaliyetlerini güncelleştirmeye devam etmektedir. Bu kapsamda 2025-2026 Eğitim-Öğretim yılında bölümümüzün HEPDAK (Hemşirelik Eğitim Programları Değerlendirme ve Akreditasyon Derneği) akreditasyonuna hazırlık çalışmaları yoğun biçimde sürdürülmüş; öz değerlendirme raporu, standartlara ilişkin kanıt dosyaları, program çıktılarının (PÇ) güncellenmesi, müfredat-PÇ matrisi, ders değerlendirme raporları ve PUKÖ (Planla-Uygula-Kontrol Et-Önlem Al) sürekli iyileştirme döngüsü çalışmaları tamamlanmıştır. Hemşireliği, yenilikçi bir vizyonla, bakımı kuram temelli ve kanıta dayalı olarak sunmanın gayret ve çabası içindeyiz. Hemşirelik Bölümü olarak 2025-2026 Eğitim-Öğretim yılında gerçekleştirdiğimiz faaliyetler, gelecekteki hedeflerimize ulaşmamıza ve başarılarımızın güçlenmesine aracı olacaktır.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Birim Faaliyet Raporunun hazırlanmasında katkı sağlayan ve başarıyla uygulanmasında da destek olacaklarını düşündüğümüz akademik personelimize, öğrencilerimize ve diğer paydaşlarımıza teşekkürlerimi sunarım.</w:t>
      </w:r>
    </w:p>
    <w:p>
      <w:pPr>
        <w:spacing w:after="0" w:before="200" w:line="300"/>
        <w:jc w:val="right"/>
      </w:pPr>
      <w:r>
        <w:rPr>
          <w:rFonts w:ascii="Times New Roman" w:cs="Times New Roman" w:eastAsia="Times New Roman" w:hAnsi="Times New Roman"/>
          <w:b/>
          <w:bCs/>
          <w:i w:val="false"/>
          <w:iCs w:val="false"/>
          <w:color w:val="000000"/>
          <w:sz w:val="24"/>
          <w:szCs w:val="24"/>
        </w:rPr>
        <w:t xml:space="preserve">PROF. DR. FÜGEN ÖZCANARSLAN</w:t>
      </w:r>
    </w:p>
    <w:p>
      <w:pPr>
        <w:spacing w:after="120" w:before="0" w:line="300"/>
        <w:jc w:val="right"/>
      </w:pPr>
      <w:r>
        <w:rPr>
          <w:rFonts w:ascii="Times New Roman" w:cs="Times New Roman" w:eastAsia="Times New Roman" w:hAnsi="Times New Roman"/>
          <w:b/>
          <w:bCs/>
          <w:i w:val="false"/>
          <w:iCs w:val="false"/>
          <w:color w:val="000000"/>
          <w:sz w:val="24"/>
          <w:szCs w:val="24"/>
        </w:rPr>
        <w:t xml:space="preserve">DEKAN</w:t>
      </w:r>
    </w:p>
    <w:p>
      <w:r>
        <w:br w:type="page"/>
      </w:r>
    </w:p>
    <w:p>
      <w:pPr>
        <w:spacing w:after="120" w:before="240"/>
        <w:jc w:val="left"/>
      </w:pPr>
      <w:r>
        <w:rPr>
          <w:rFonts w:ascii="Times New Roman" w:cs="Times New Roman" w:eastAsia="Times New Roman" w:hAnsi="Times New Roman"/>
          <w:b/>
          <w:bCs/>
          <w:i w:val="false"/>
          <w:iCs w:val="false"/>
          <w:color w:val="000000"/>
          <w:sz w:val="26"/>
          <w:szCs w:val="26"/>
        </w:rPr>
        <w:t xml:space="preserve">I-GENEL BİLGİLER</w:t>
      </w:r>
    </w:p>
    <w:p>
      <w:pPr>
        <w:spacing w:after="120" w:before="240"/>
        <w:jc w:val="left"/>
      </w:pPr>
      <w:r>
        <w:rPr>
          <w:rFonts w:ascii="Times New Roman" w:cs="Times New Roman" w:eastAsia="Times New Roman" w:hAnsi="Times New Roman"/>
          <w:b/>
          <w:bCs/>
          <w:i w:val="false"/>
          <w:iCs w:val="false"/>
          <w:color w:val="000000"/>
          <w:sz w:val="24"/>
          <w:szCs w:val="24"/>
        </w:rPr>
        <w:t xml:space="preserve">A. MİSYON VE VİZYON</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Hemşirelik birey, aile ve toplumun sağlığının korunmasında, hastalıkların tedavisinde bütüncül, kanıta dayalı, araştırma temelli bakım vermeyi sağlayan bir meslektir.</w:t>
      </w:r>
    </w:p>
    <w:p>
      <w:pPr>
        <w:spacing w:after="120" w:before="240"/>
        <w:jc w:val="left"/>
      </w:pPr>
      <w:r>
        <w:rPr>
          <w:rFonts w:ascii="Times New Roman" w:cs="Times New Roman" w:eastAsia="Times New Roman" w:hAnsi="Times New Roman"/>
          <w:b/>
          <w:bCs/>
          <w:i w:val="false"/>
          <w:iCs w:val="false"/>
          <w:color w:val="000000"/>
          <w:sz w:val="24"/>
          <w:szCs w:val="24"/>
        </w:rPr>
        <w:t xml:space="preserve">MİSYON</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Hemşirelik mesleğinin gerektirdiği profesyonel görevleri yerine getirebilen, bağımsız karar verebilen, yasal sorumluluklarını bilen ve sahip çıkan, takım çalışmasını karşılıklı sevgi, saygı ve mükemmeliyet çerçevesinde yürütebilen, birey, aile ve toplumun değerlerine, etik ilkelere ve hasta haklarına saygılı, araştırmacı, güvenilir, girişimci, eleştirel düşünebilen, aktif, sorgulayıcı, kendine güvenen, ülkemizin ve üniversitemizin adını ulusal ve uluslararası platformda duyurabilecek uygulayıcı, eğitimci, yönetici ve lider bireyler yetiştirmektir.</w:t>
      </w:r>
    </w:p>
    <w:p>
      <w:pPr>
        <w:spacing w:after="120" w:before="240"/>
        <w:jc w:val="left"/>
      </w:pPr>
      <w:r>
        <w:rPr>
          <w:rFonts w:ascii="Times New Roman" w:cs="Times New Roman" w:eastAsia="Times New Roman" w:hAnsi="Times New Roman"/>
          <w:b/>
          <w:bCs/>
          <w:i w:val="false"/>
          <w:iCs w:val="false"/>
          <w:color w:val="000000"/>
          <w:sz w:val="24"/>
          <w:szCs w:val="24"/>
        </w:rPr>
        <w:t xml:space="preserve">VİZYON</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Çağdaş teknoloji ve bilgiye sahip olan, ekip çalışmasına inanarak sağlıklı ve hasta bireyin sağlığının geliştirilmesinde ve sürdürülmesinde mükemmel bakıma ulaşmayı hedefleyen bireylerin yetiştirildiği, ulusal ve uluslararası düzeyde dengi okullara örnek olabilen ve tercih edilen bir üniversite/fakülte/hemşirelik bölümü olmaktır.</w:t>
      </w:r>
    </w:p>
    <w:p>
      <w:pPr>
        <w:spacing w:after="120" w:before="240"/>
        <w:jc w:val="left"/>
      </w:pPr>
      <w:r>
        <w:rPr>
          <w:rFonts w:ascii="Times New Roman" w:cs="Times New Roman" w:eastAsia="Times New Roman" w:hAnsi="Times New Roman"/>
          <w:b/>
          <w:bCs/>
          <w:i w:val="false"/>
          <w:iCs w:val="false"/>
          <w:color w:val="000000"/>
          <w:sz w:val="24"/>
          <w:szCs w:val="24"/>
        </w:rPr>
        <w:t xml:space="preserve">B- GÖREV, YETKİ VE SORUMLULUKLAR</w:t>
      </w:r>
    </w:p>
    <w:p>
      <w:pPr>
        <w:spacing w:after="120" w:before="240"/>
        <w:jc w:val="left"/>
      </w:pPr>
      <w:r>
        <w:rPr>
          <w:rFonts w:ascii="Times New Roman" w:cs="Times New Roman" w:eastAsia="Times New Roman" w:hAnsi="Times New Roman"/>
          <w:b/>
          <w:bCs/>
          <w:i w:val="false"/>
          <w:iCs w:val="false"/>
          <w:color w:val="000000"/>
          <w:sz w:val="22"/>
          <w:szCs w:val="22"/>
        </w:rPr>
        <w:t xml:space="preserve">1. BÖLÜM BAŞKANI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200"/>
        <w:gridCol w:w="6160"/>
      </w:tblGrid>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1. Bölüm</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 Görev Unvanı</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Bölüm Başkanı</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3. Bağlı Olduğu Birim Yöneticisi</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Dekan Yardımcıları, Dekan, Rektör Yardımcıları, Rektör</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4. Görev, Yetki ve Sorumlulukları</w:t>
            </w:r>
          </w:p>
        </w:tc>
        <w:tc>
          <w:tcPr>
            <w:tcW w:type="dxa" w:w="6160"/>
            <w:tcMar>
              <w:top w:type="dxa" w:w="40"/>
              <w:left w:type="dxa" w:w="80"/>
              <w:bottom w:type="dxa" w:w="40"/>
              <w:right w:type="dxa" w:w="80"/>
            </w:tcMar>
          </w:tcPr>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 Bölüm kurullarına başkanlık etmek.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2. Fakültenin misyon ve vizyonunun gerçekleştirilmesini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3. Bölümün ihtiyaçlarını Dekanlık Makamına yazılı ve sözlü olarak bildirmek.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4. Fakülte Dekanlığı ile kendi bölümü arasındaki her türlü yazışmanın sağlıklı bir şekilde yapılmasını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5. Bölümle ilgili her türlü faaliyetin düzenli ve verimli olarak yürütülmesini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6. Bölümle ilgili gelişmeleri takip etmek, yaşanan sorunları çözmek için gerekli toplantıları yapmak.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7. Bölümün faaliyet, stratejik plan ve performans kriterlerini hazırlamak.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8. Bölümün kadro ve öğretim elemanı ihtiyacını planlayarak dekanlığa sunmak.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9. Fakülte Kurulu Toplantılarında Bölümü temsil etmek.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10. Bölümde görevli öğretim elemanlarının görev işleyişlerini izlemek ve denetlemek.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11. Bölümün eğitim-öğretimle ilgili sorun ve taleplerini tespit ederek Dekanlığa iletmek.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12. Eğitim-öğretimin ve bilimsel araştırmaların verimli ve etkili bir şekilde gerçekleşmesi amacına uygun olarak, bölümdeki öğretim elemanları arasında koordinasyonu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13. Fakülte Akademik Genel Kurulu için bölüm ile ilgili gerekli bilgileri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14. Bölümündeki öğrenci-öğretim elemanı ilişkilerinin, eğitim-öğretimin amaçları doğrultusunda, düzenli ve sağlıklı bir şekilde yürütülmesini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15. Dekan / Dekan Yardımcılarının vereceği diğer görevleri yerine getirmek.</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2. ÖĞRETİM ÜYESİ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200"/>
        <w:gridCol w:w="6160"/>
      </w:tblGrid>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1. Bölüm</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 Görev Unvanı</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Öğretim Üyesi</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3. Bağlı Olduğu Birim Yöneticisi</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Bölüm Başkanı, Dekan Yardımcıları, Dekan, Rektör Yardımcıları, Rektör</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4. Görev, Yetki ve Sorumlulukları</w:t>
            </w:r>
          </w:p>
        </w:tc>
        <w:tc>
          <w:tcPr>
            <w:tcW w:type="dxa" w:w="6160"/>
            <w:tcMar>
              <w:top w:type="dxa" w:w="40"/>
              <w:left w:type="dxa" w:w="80"/>
              <w:bottom w:type="dxa" w:w="40"/>
              <w:right w:type="dxa" w:w="80"/>
            </w:tcMar>
          </w:tcPr>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 Fakülte ve bulunduğu bölümün amaç ve hedeflerine ulaşmaya çalışır.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2. Sorumlu olduğu derslerin eksiksiz yürütülmesini sağlar.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3. Sorumlu olduğu dersin sınavlarının uygun şekilde yapılmasını sağlar.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4. Ders içeriklerinin hazırlanmasını ve eksiksiz yürütülmesini sağlar.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5. Ders faaliyetlerini akademik takvime uygun olarak yürütür.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6. Her yıl sonunda sorumlusu olduğu dersler için öğrenciler tarafından doldurulan ders sorumlusu değerlendirme formu sonuçlarına göre iyileştirme çalışmaları yapmak.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7. Yükseköğretim mevzuatına uygun olarak öğrenci danışmanlık faaliyetlerini yürütür.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8. Her yarıyıl sonunda verdiği derslerle ilgili ders dosyalarını tamamlayarak sınav evraklarını ve ödevlerle ilgili bilgilerin bölüm arşivine iletilmesini sağlar.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9. Bilimsel araştırmalar ve yayınlar yapar.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10. Bilimsel alanda ulusal ve uluslararası bilimsel aktivitelere katılır.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11. Bilimsel alanda ulusal ve uluslararası bilimsel aktivitelerin düzenlenmesinde yer alır.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12. Sosyal sorumluluk projelerinde yer alır.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13. Bölüm Başkanlığı tarafından atandığı kurul ve komisyonlarda görev yapar.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14. Eğitim-öğretim yılı sonunda bir yıllık akademik performans göstergelerini kapsayan (eğitim-öğretim, yayın, bildiri, proje, teknik gezi vb.) faaliyetleri bölüme sunar.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15. Bölümün eğitim-öğretim ve araştırma faaliyetleri, stratejik plan, performans kriterleri gibi her yıl yapılması gereken çalışmalarına destek verir.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16. Bölüm Başkanının ve Anabilim Dalı Başkanının vereceği diğer görevleri yapar.</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3. ÖĞRETİM GÖREVLİSİ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200"/>
        <w:gridCol w:w="6160"/>
      </w:tblGrid>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1. Bölüm</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 Görev Unvanı</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Öğretim Görevlisi</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3. Bağlı Olduğu Birim Yöneticisi</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Bölüm Başkanı, Dekan Yardımcıları, Dekan, Rektör Yardımcıları, Rektör</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4. Görev, Yetki ve Sorumlulukları</w:t>
            </w:r>
          </w:p>
        </w:tc>
        <w:tc>
          <w:tcPr>
            <w:tcW w:type="dxa" w:w="6160"/>
            <w:tcMar>
              <w:top w:type="dxa" w:w="40"/>
              <w:left w:type="dxa" w:w="80"/>
              <w:bottom w:type="dxa" w:w="40"/>
              <w:right w:type="dxa" w:w="80"/>
            </w:tcMar>
          </w:tcPr>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 Bölüm Başkanı ve Anabilim Dalı Başkanına karşı sorumludur.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2. Sorumlu olduğu ders içeriklerinin hazırlanmasını sağlar.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3. Sorumlu olduğu dersleri yürütür.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4. Yürütmekte olduğu derslerin sınavlarını belirlenen tarih ve saatlerde yapar.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5. Öğrenci danışmanlık hizmetlerini yürütür.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6. Bölüm Başkanlığının görevlendirdiği komisyon ve kurullarda çalışır.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7. Yıllık akademik faaliyetlerini Bölüm Başkanlığına sunar.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8. Görev alanı itibariyle yürütmekle yükümlü bulunduğu hizmetlerin yerine getirilmesinde, yönetmelik, kanun ve yasal şartlara uyar.</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9. Bölüm Başkanının vereceği diğer görevleri yapar.</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4. ARAŞTIRMA GÖREVLİLERİ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200"/>
        <w:gridCol w:w="6160"/>
      </w:tblGrid>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1. Bölüm</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 Görev Unvanı</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Araştırma Görevlisi</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3. Bağlı Olduğu Birim Yöneticisi</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Bölüm Başkanı, Dekan Yardımcıları, Dekan, Rektör Yardımcıları, Rektör</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4. Görev, Yetki ve Sorumlulukları</w:t>
            </w:r>
          </w:p>
        </w:tc>
        <w:tc>
          <w:tcPr>
            <w:tcW w:type="dxa" w:w="6160"/>
            <w:tcMar>
              <w:top w:type="dxa" w:w="40"/>
              <w:left w:type="dxa" w:w="80"/>
              <w:bottom w:type="dxa" w:w="40"/>
              <w:right w:type="dxa" w:w="80"/>
            </w:tcMar>
          </w:tcPr>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 2547 sayılı Yükseköğretim Kanunu'nun 4. maddesinde belirlenen amaçlara ve 33. maddede belirlenen görev tanımlamasına uygun hareket etmek.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2. Bilimsel araştırma ve faaliyetlerin yapılmasında hazır bulunmak, yardımcı olmak.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3. Dekanlık Makamı tarafından verilecek görevleri yapmak (sempozyum, kongre, mezuniyet töreni, oryantasyon, teknik gezi programları).</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4. Ders ve sınav programlarının hazırlanmasına katılmak, uygulamasında yardımcı olmak.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5. Öğrenci danışmanlık hizmetlerinde öğretim üyelerine yardımcı olmak.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6. Bilimsel araştırma ve faaliyetlerde bulunmak, bilim alanı ile ilgili yayımlar yapmak.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7. Bölüm Başkanlığınca uygun görülecek toplantı ve seminerlere katılmak.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8. Kaynakların verimli, etkin ve ekonomik şekilde kullanılmasını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9. Bölümün eğitim-öğretim faaliyetleri, Stratejik Planı, Performans göstergeleri gibi her yıl hazırlanması zorunlu olan çalışmalara yardımcı olmak.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10. Danışman öğretim üyesi, Anabilim Dalı Başkanı, Bölüm Başkanı'nın vereceği diğer işleri yapmak.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11. Araştırma Görevlisi görevlerinden dolayı Bölüm Başkanına ve Dekana karşı sorumludur.</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5. BÖLÜM SEKRETERİ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200"/>
        <w:gridCol w:w="6160"/>
      </w:tblGrid>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1. Bölüm</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 Görev Unvanı</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Bölüm Sekreteri</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3. Bağlı Olduğu Birim Yöneticisi</w:t>
            </w:r>
          </w:p>
        </w:tc>
        <w:tc>
          <w:tcPr>
            <w:tcW w:type="dxa" w:w="6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Fakülte Sekreteri, Bölüm Başkanı ve Dekan Yardımcıları</w:t>
            </w:r>
          </w:p>
        </w:tc>
      </w:tr>
      <w:tr>
        <w:tc>
          <w:tcPr>
            <w:tcW w:type="dxa" w:w="3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4. Görev, Yetki ve Sorumlulukları</w:t>
            </w:r>
          </w:p>
        </w:tc>
        <w:tc>
          <w:tcPr>
            <w:tcW w:type="dxa" w:w="6160"/>
            <w:tcMar>
              <w:top w:type="dxa" w:w="40"/>
              <w:left w:type="dxa" w:w="80"/>
              <w:bottom w:type="dxa" w:w="40"/>
              <w:right w:type="dxa" w:w="80"/>
            </w:tcMar>
          </w:tcPr>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 Sorumlu olduğu bölümün sekreterlik hizmetlerini (not alma, randevu ayarlama vb.) yapmak.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2. Bölümün günlük yazışmalarını yapmak, işlerini takip etmek, işlemi bittikten sonra dosyalamak.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3. Bölümle ilgili çeşitli evrak ve dokümanları hazırlamak.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4. Bölüm faaliyetlerini ilgilendiren mevzuatı sürekli takip etmek.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5. Sistem üzerinden gelen yazıları, alınan talimat doğrultusunda, bölüm öğretim elemanlarına duyurmak.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6. Kendisinin sorumluğuna verilen öğrenci işleri ile ilgili tüm iş ve işlemleri yerine getirmek.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7. Öğrenciler ile ilgili gelen yazıları danışmanlara ve dersin öğretim elemanlarına duyurmak, görüş istenen yazılara görüş yazısı yazmak.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8. Bölüme getirilen imza dosyalarını inceleyip, eksiklikler varsa giderilmesini sağlamak, imzadan sonra ilgili birimlere göndermek.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9. İş akışındaki günlük acil yazılara ilişkin Bölüm Başkanını bilgilendirmek.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10. Öğretim elemanlarının yurt içi ve yurt dışı bilimsel toplantılara katılması, inceleme, araştırma ve uygulama yapmak üzere görevlendirmesine ilişkin yazışmalarını yapmak.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11. Bölümün dosyalama işlemlerini yapmak, arşive devredilecek malzemelerin teslimini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12. Kurallara uygun yazılmış, bölümü ilgilendiren öğrenci dilekçelerini kontrol ederek almak, işleme koymak ve sonuçlandırmak.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13. Yıllık izinler ve diğer idari izinlerin, işleri aksatmayacak şekilde düzenlenmesine yardımcı olmak.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14. Bölümün kırtasiye, demirbaş eşya vb. ihtiyaçlarının zamanında istenip temin edilmesini sağlamak.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15. Bölüm öğrencilerinin hizmetine sunulan derslik, laboratuvar vb. bakım-onarım işlerini ve eğitimi engelleyen aksaklıkları Dekanlığa bildirmek.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16. Yaz okulundan faydalanmak isteyen öğrencilerin dilekçelerine istinaden alınan kararları Dekanlığa göndermek.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17. Kurum dışından gelen iç ve dış postaları (kargo, tebligat vb.) ilgili kişilere ulaştırmak; görev süresi bitecek olan öğretim elemanlarının görev sürelerinin uzatılması için gerekli belgeleri Dekanlığa iletmek.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18. Bahar ve güz döneminde açılacak olan derslerle ilgili yazışmaları yapmak.</w:t>
            </w:r>
          </w:p>
          <w:p>
            <w:pPr>
              <w:spacing w:after="60" w:line="276"/>
              <w:ind w:left="360" w:hanging="360"/>
              <w:jc w:val="both"/>
            </w:pPr>
            <w:r>
              <w:rPr>
                <w:rFonts w:ascii="Times New Roman" w:cs="Times New Roman" w:eastAsia="Times New Roman" w:hAnsi="Times New Roman"/>
                <w:b w:val="false"/>
                <w:bCs w:val="false"/>
                <w:i w:val="false"/>
                <w:iCs w:val="false"/>
                <w:color w:val="000000"/>
                <w:sz w:val="22"/>
                <w:szCs w:val="22"/>
              </w:rPr>
              <w:t xml:space="preserve">19. Erasmus, Farabi vb. öğrencilerinin ders alma, intibak vb. işlemlerine ilişkin yazışmaları takip etmek ve Bölüm Başkanına karşı sorumludur.</w:t>
            </w:r>
          </w:p>
        </w:tc>
      </w:tr>
    </w:tbl>
    <w:p>
      <w:r>
        <w:br w:type="page"/>
      </w:r>
    </w:p>
    <w:p>
      <w:pPr>
        <w:spacing w:after="120" w:before="240"/>
        <w:jc w:val="left"/>
      </w:pPr>
      <w:r>
        <w:rPr>
          <w:rFonts w:ascii="Times New Roman" w:cs="Times New Roman" w:eastAsia="Times New Roman" w:hAnsi="Times New Roman"/>
          <w:b/>
          <w:bCs/>
          <w:i w:val="false"/>
          <w:iCs w:val="false"/>
          <w:color w:val="000000"/>
          <w:sz w:val="24"/>
          <w:szCs w:val="24"/>
        </w:rPr>
        <w:t xml:space="preserve">C. İDAREYE İLİŞKİN BİLGİLER</w:t>
      </w:r>
    </w:p>
    <w:p>
      <w:pPr>
        <w:spacing w:after="120" w:before="240"/>
        <w:jc w:val="left"/>
      </w:pPr>
      <w:r>
        <w:rPr>
          <w:rFonts w:ascii="Times New Roman" w:cs="Times New Roman" w:eastAsia="Times New Roman" w:hAnsi="Times New Roman"/>
          <w:b/>
          <w:bCs/>
          <w:i w:val="false"/>
          <w:iCs w:val="false"/>
          <w:color w:val="000000"/>
          <w:sz w:val="22"/>
          <w:szCs w:val="22"/>
        </w:rPr>
        <w:t xml:space="preserve">1. Fiziksel Yapı</w:t>
      </w:r>
    </w:p>
    <w:p>
      <w:pPr>
        <w:spacing w:after="120" w:before="240"/>
        <w:jc w:val="left"/>
      </w:pPr>
      <w:r>
        <w:rPr>
          <w:rFonts w:ascii="Times New Roman" w:cs="Times New Roman" w:eastAsia="Times New Roman" w:hAnsi="Times New Roman"/>
          <w:b/>
          <w:bCs/>
          <w:i w:val="false"/>
          <w:iCs w:val="false"/>
          <w:color w:val="000000"/>
          <w:sz w:val="22"/>
          <w:szCs w:val="22"/>
        </w:rPr>
        <w:t xml:space="preserve">1-1. Eğitim Alanları, Derslikler, Ofisler ve Toplantı Salonları</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Toros Üniversitesi Sağlık Bilimleri Fakültesi Hemşirelik Bölümü, üniversite 45 Evler Kampüsünde bulunmaktadır. Bölüm 2021 yılından itibaren, 45 Evler Kampüste eğitim öğretime devam etmektedir. Fakülte bahçesinde güvenlik birimi, dinlenme amaçlı kullanılan masalar ve oturaklar yer almaktadır. Fakültenin içerisinde arkada bahçede yer alan kantin alanında da öğrencilerin dinlenebileceği alan mevcuttur. Fakültede 3 blok mevcuttur. Girişte güvenlik birimi mevcut olup A blokta Dekanlık binasında dekan yardımcısı odası, bölüm sekreterliği ve diğer öğretim üyeleri odası bulunmaktadır. B blokta derslikler, toplantı odası, mütevelli heyeti, araştırma görevlileri ile hemşirelik beceri laboratuvarı yer almaktadır. C blokta ise fotokopi odası, konferans salonu ve çay ocağı odası bulunmaktadır. Tüm sınıflarda projeksiyon, internet altyapısı, ses sistemi, tahta, öğretim elemanı masa ve sandalyesi ile öğrencilerin oturabileceği sıra ve masalar mevcuttur. Dersliklerde yer alan bilgisayar, projeksiyon cihazı ve ses sisteminde herhangi bir sorun olduğunda Bilgi İşlem Dairesinden destek alınmaktadır. Üniversitemizin kampüslerinde kablosuz internet bağlantısı mevcuttur.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Sağlık Bilimleri Fakültesinde Hemşirelik Bölümüne ait 3 adet derslik (C203, C301, B303) bulunmaktadır ve sırasıyla 85,3, 90 ve 84 m² dir. Ayrıca hemşirelik bölümüne ait 2 (iki) adet laboratuvar (Hemşirelik Beceri Laboratuvarı ve Temel Beceri Laboratuvarı-2) bulunmaktadır. Hemşirelik Beceri laboratuvarında iki adet hasta yatağı, iki adet tam beden maketi, ikişer adet yetişkin, çocuk, bebek CPR maketi ve defibrilatör (2 adet) bulunmaktadır. Temel Beceri Laboratuvarında ise birer adet yetişkin ve pediatrik entübasyon maketi bulunmaktadır. Laboratuvar ortamında öğrencilerin etkin/kalıcı bir öğrenme süreci ile derslerde öğrendikleri teorik bilgileri uygulama olanağı sağlanması amaçlanmaktadır. Eğitim ortamında fiziksel alanların ve eğitimle ilgili teknolojik araç-gereçlerin yeterliliği düzenli aralıklarla kontrol edilmekte ve gerekli düzenlemeler yapılarak güncellenmektedir. Her eğitim-öğretim döneminde ihtiyaç duyulan araç-gereçler, yazılı olarak yönetime iletilebildiği gibi, sözlü olarak da iletilmektedir ve yönetim tarafından belirtilen ihtiyaçlar fakülte deposunda mevcut ise depodan, mevcut değil ise satın alma yolu ile karşılanmaktadır.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Bölümümüzdeki öğretim üyeleri ve öğretim elemanları çalışmalarını minimum 25 m² ve maksimum üç kişilik ofislerde sürdürmektedir. Çalışma ofislerinde büro eşyası olarak çalışma masası, çalışma koltuğu, iki adet misafir koltuğu ve iki adet dolap standart olarak bulunmaktadır. Ofislerde temel büro mobilyası, internet erişimli bilgisayar ve telefon bulunmaktadır. Fakültede bir tane Fakülte Sekreterliği ve sınav sorularını çoğaltmak için fotokopi odası mevcuttur. Kütüphane hariç tüm eğitim ortamlarının mimari yapısı engelli öğrencilerin gereksinimlerini kısmen karşılayacak şekildedir. Ana binaya girişte engelli araçlarının ulaşımını sağlayabileceği hafif rampa mevcuttur. Öğretim elemanlarından eğitim ortamının fiziksel alt yapısına ilişkin, toplantılarda veya bireysel olarak sözel/yazılı geri bildirimlerde bulunulmaktadır.</w:t>
      </w:r>
    </w:p>
    <w:p>
      <w:r>
        <w:rPr>
          <w:rFonts w:ascii="Times New Roman" w:cs="Times New Roman" w:eastAsia="Times New Roman" w:hAnsi="Times New Roman"/>
          <w:b w:val="false"/>
          <w:bCs w:val="false"/>
          <w:i w:val="false"/>
          <w:iCs w:val="false"/>
          <w:color w:val="000000"/>
          <w:sz w:val="24"/>
          <w:szCs w:val="24"/>
        </w:rPr>
        <w:t xml:space="preserve"/>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3120"/>
        <w:gridCol w:w="312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Eğitim Alanı</w:t>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Kapasitesi (0-50) kişi</w:t>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Kapasitesi (50-100) kişi</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Anfi</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Sınıf</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3</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 Bölüm Laboratuvarları</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Bilgisayar Laboratuvarı</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Toplam</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1.2. Sosyal Alanlar</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3120"/>
        <w:gridCol w:w="312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Sayısı</w:t>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Kapasitesi</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Kafeterya Sayısı</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50</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1.3. Toplantı Konferans Salonları</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3120"/>
        <w:gridCol w:w="312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Kapasitesi (0-50 kişi)</w:t>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Kapasitesi (50-100 kişi)</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Toplantı Salonu</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Konferans Salonu</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Toplam</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r>
    </w:tbl>
    <w:p>
      <w:r>
        <w:br w:type="page"/>
      </w:r>
    </w:p>
    <w:p>
      <w:pPr>
        <w:spacing w:after="120" w:before="240"/>
        <w:jc w:val="left"/>
      </w:pPr>
      <w:r>
        <w:rPr>
          <w:rFonts w:ascii="Times New Roman" w:cs="Times New Roman" w:eastAsia="Times New Roman" w:hAnsi="Times New Roman"/>
          <w:b/>
          <w:bCs/>
          <w:i w:val="false"/>
          <w:iCs w:val="false"/>
          <w:color w:val="000000"/>
          <w:sz w:val="22"/>
          <w:szCs w:val="22"/>
        </w:rPr>
        <w:t xml:space="preserve">2. ÖRGÜT YAPISI</w:t>
      </w:r>
    </w:p>
    <w:p>
      <w:pPr>
        <w:spacing w:after="120" w:before="240"/>
        <w:jc w:val="left"/>
      </w:pPr>
      <w:r>
        <w:rPr>
          <w:rFonts w:ascii="Times New Roman" w:cs="Times New Roman" w:eastAsia="Times New Roman" w:hAnsi="Times New Roman"/>
          <w:b/>
          <w:bCs/>
          <w:i w:val="false"/>
          <w:iCs w:val="false"/>
          <w:color w:val="000000"/>
          <w:sz w:val="22"/>
          <w:szCs w:val="22"/>
        </w:rPr>
        <w:t xml:space="preserve">2.1. Tarihçe</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Toros Üniversitesi, 07 Temmuz 2009 tarih ve 27281 Sayılı Resmi Gazete'de yayımlanan, 23.06.2009 tarihinde TBMM'de kabul edilen 5913 Sayılı Yükseköğretim Kurumları Teşkilatı Kanununda Değişiklik Yapılmasına Dair Kanun'un 1. Maddesi uyarınca, 28.03.1983 tarih ve 2809 sayılı Yükseköğretim Kurumları Teşkilatı Kanununa Ek Madde 111 ile Mersin Eğitim Vakfı tarafından kurulmuştur.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İlk olarak Sağlık Bilimleri Yüksekokulu (SBYO), 10.08.2012 tarihinde kurulmuştur. Sağlık Bilimleri Yüksekokulu bünyesinde 2014-2015 Eğitim-Öğretim yılında Sağlık Kurumları Yönetimi Bölümüne ilk kez öğrenci alınmış, 2015 yılında bölümün adı Sağlık Yönetimi olarak değiştirilmiş ve 2015-2016 Eğitim-Öğretim yılında bölüm bu adla ilk kez öğrenci almıştır. 2015-2016 Eğitim-Öğretim yılında Hemşirelik Bölümüne ilk kez öğrenci alınarak eğitim-öğretime başlanmıştır. Sağlık Bilimleri Fakültesi, 16 Haziran 2020 tarih ve 31157 Sayılı Resmi Gazete'de yayınlanan 15.06.2020 tarihli Cumhurbaşkanlığı kararnamesi ile 2809 Sayılı Yükseköğretim Kurumları Teşkilatı Kanununda Değişiklik Yapılmasına Dair Kanun'un 30. madde ve ek 158. maddeleri ile 2547 sayılı YÖK kanununun ek 39. maddesi gereğince 20.06.2020 tarih ve 2654 sayılı karar ile kurulmuştur. Hemşirelik Bölümü de Sağlık Bilimleri Fakültesi (SBF)'ne bağlı olarak 2019-2020 Eğitim öğretim yılında eğitim öğretime başlamıştır. Toros Üniversitesi 45 Evler Kampüsünde yer alan hemşirelik bölümü, ilk mezunlarını 2017-2018 eğitim-öğretim yılında vermiştir. Hemşirelik bölümünde SBF bünyesinde, 1 Fakülte Sekreteri ve 2 Memur olmak üzere toplam 3 idari personel görev yapmaktadır. Bölümümüz bünyesinde 2025-2026 eğitim-öğretim yılı itibarıyla kadrolu 1 Profesör, 5 Doktor Öğretim Üyesi ve 2 Araştırma Görevlisi olmak üzere toplam 8 öğretim elemanı görev yapmaktadır. Araştırma görevlilerinin her ikisi de doktora eğitimlerine devam etmektedir. Ayrıca gereksinimler doğrultusunda dışarıdan alanında yetkin öğretim elemanları görevlendirilmektedir.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Hemşirelik bölümü 4 yıllık eğitim veren bir lisans programıdır. Bölümün amacı; günlük yaşam içinde insanı ve insan sağlığını etkileyebilecek her türlü gelişme ve değişmelere duyarlı olacak ve bunları verdiği hizmette göz önünde bulunduracak, sağlıklı ya da hasta bireylerin her ortamda hemşirelik bakım gereksinimlerini saptayabilecek, bu gereksinimleri mesleki standartlar düzeyinde karşılayabilmek için gerekli olan hemşirelik bakımını planlayabilecek, uygulayabilecek ve değerlendirecek, aynı zamanda sağlık ekibinin etkin ve etkili bir üyesi olarak rol ve işlevlerini yerine getirecek, hemşirelik eğitimi, yönetimi ve araştırmalarında rol alabilecek, tüm bunları yerine getirirken mesleki etik ilkelerini göz önünde bulunduracak nitelikte profesyonel hemşireler yetiştirmektir. Meslek derslerinin uygulamaları hastane, okul, toplum sağlığı merkezlerinde yapılmaktadır. Bu bölümden mezun olanlar tüm kamu ve özel sağlık kurumlarında yönetici ve klinisyen hemşire, eğitim kurumlarında okul hemşiresi, çeşitli kurumlarda yönetici ve kurum hemşiresi olarak çalışabilirler. Pedagojik formasyon eğitimi almış olanlar sağlık meslek liselerinde öğretmenlik yapabilirler.</w:t>
      </w:r>
    </w:p>
    <w:p>
      <w:pPr>
        <w:spacing w:after="120" w:before="240"/>
        <w:jc w:val="left"/>
      </w:pPr>
      <w:r>
        <w:rPr>
          <w:rFonts w:ascii="Times New Roman" w:cs="Times New Roman" w:eastAsia="Times New Roman" w:hAnsi="Times New Roman"/>
          <w:b/>
          <w:bCs/>
          <w:i w:val="false"/>
          <w:iCs w:val="false"/>
          <w:color w:val="000000"/>
          <w:sz w:val="22"/>
          <w:szCs w:val="22"/>
        </w:rPr>
        <w:t xml:space="preserve">2.2. Hemşirelik Bölümü Öğretim Üyeleri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5160"/>
        <w:gridCol w:w="4200"/>
      </w:tblGrid>
      <w:tr>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 Esasları Ana Bilim Dalı</w:t>
            </w:r>
          </w:p>
        </w:tc>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Sevcan Öz Kahveci</w:t>
            </w:r>
          </w:p>
        </w:tc>
      </w:tr>
      <w:tr>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İç Hastalıkları Hemşireliği Ana Bilim Dalı</w:t>
            </w:r>
          </w:p>
        </w:tc>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Prof. Dr. Fügen Özcanarslan</w:t>
            </w:r>
          </w:p>
        </w:tc>
      </w:tr>
      <w:tr>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Cerrahi Hastalıkları Hemşireliği Ana Bilim Dalı</w:t>
            </w:r>
          </w:p>
        </w:tc>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Aysel Doğan</w:t>
            </w:r>
          </w:p>
        </w:tc>
      </w:tr>
      <w:tr>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Doğum, Kadın Sağlığı ve Hastalıkları Hemşireliği Anabilim Dalı</w:t>
            </w:r>
          </w:p>
        </w:tc>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Nazife Akan</w:t>
            </w:r>
          </w:p>
        </w:tc>
      </w:tr>
      <w:tr>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Çocuk Sağlığı ve Hastalıkları Hemşireliği Anabilim Dalı</w:t>
            </w:r>
          </w:p>
        </w:tc>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Didem Polat Külcü</w:t>
            </w:r>
          </w:p>
        </w:tc>
      </w:tr>
      <w:tr>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Halk Sağlığı Hemşireliği Anabilim Dalı</w:t>
            </w:r>
          </w:p>
        </w:tc>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Neslihan Özcanarslan</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2.3. Hemşirelik Bölümü Komisyon Üyelikleri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4200"/>
        <w:gridCol w:w="5160"/>
      </w:tblGrid>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Öz Değerlendirme</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Prof. Dr. Fügen ÖZCANARSLAN (Bölüm Başkanı)</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Neslihan ÖZCANARSLAN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Didem POLAT KÜLCÜ</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Yalçın AYKEMAT</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Mesleki Uygulama, Ölçme Değerlendirme Komisyonu</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Prof. Dr. Fügen ÖZCANARSLAN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Sevcan ÖZ KAHVECİ</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Nazife AKAN</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Değişim Programları</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Neslihan ÖZCANARSLAN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Büşra YÜRÜK</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Bilgi Paketi</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Yalçın AYKEMAT</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Büşra YÜRÜK</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Mezunlarla İletişim</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Nazife AKAN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Didem POLAT KÜLCÜ</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Yatay Geçiş ve İntibak</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Neslihan ÖZCANARSLAN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Didem POLAT KÜLCÜ</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Yalçın AYKEMAT</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Mentörlük ve Etkinlikler</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Sevcan ÖZ KAHVECİ</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Büşra YÜRÜK</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Kalite</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Aysel DOĞAN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Neslihan ÖZCANARSLAN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Didem POLAT KÜLCÜ</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Yalçın AYKEMAT</w:t>
            </w:r>
          </w:p>
        </w:tc>
      </w:tr>
      <w:tr>
        <w:tc>
          <w:tcPr>
            <w:tcW w:type="dxa" w:w="42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Tanıtım</w:t>
            </w:r>
          </w:p>
        </w:tc>
        <w:tc>
          <w:tcPr>
            <w:tcW w:type="dxa" w:w="5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Prof. Dr. Fügen ÖZCANARSLAN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Dr. Öğr. Üyesi Aysel DOĞAN</w:t>
            </w:r>
          </w:p>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Arş. Gör. Büşra YÜRÜK</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2.4. Hemşirelik Bölümü Organizasyon Şeması</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Sağlık Bilimleri Fakültesi organizasyon şeması için: https://toros.edu.tr/sayfalar/organizasyon-semasi</w:t>
      </w:r>
    </w:p>
    <w:p>
      <w:pPr>
        <w:spacing w:after="120" w:before="240"/>
        <w:jc w:val="left"/>
      </w:pPr>
      <w:r>
        <w:rPr>
          <w:rFonts w:ascii="Times New Roman" w:cs="Times New Roman" w:eastAsia="Times New Roman" w:hAnsi="Times New Roman"/>
          <w:b/>
          <w:bCs/>
          <w:i w:val="false"/>
          <w:iCs w:val="false"/>
          <w:color w:val="000000"/>
          <w:sz w:val="22"/>
          <w:szCs w:val="22"/>
        </w:rPr>
        <w:t xml:space="preserve">3- Bilgi ve Teknolojik Kaynaklar</w:t>
      </w:r>
    </w:p>
    <w:p>
      <w:pPr>
        <w:spacing w:after="120" w:before="240"/>
        <w:jc w:val="left"/>
      </w:pPr>
      <w:r>
        <w:rPr>
          <w:rFonts w:ascii="Times New Roman" w:cs="Times New Roman" w:eastAsia="Times New Roman" w:hAnsi="Times New Roman"/>
          <w:b/>
          <w:bCs/>
          <w:i w:val="false"/>
          <w:iCs w:val="false"/>
          <w:color w:val="000000"/>
          <w:sz w:val="22"/>
          <w:szCs w:val="22"/>
        </w:rPr>
        <w:t xml:space="preserve">3.1- Yazılımlar ve Bilgisayarlar</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2340"/>
        <w:gridCol w:w="2340"/>
        <w:gridCol w:w="156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c>
          <w:tcPr>
            <w:tcW w:type="dxa" w:w="234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Öğrenciler İçin</w:t>
            </w:r>
          </w:p>
        </w:tc>
        <w:tc>
          <w:tcPr>
            <w:tcW w:type="dxa" w:w="234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Akademik Personel İçin</w:t>
            </w:r>
          </w:p>
        </w:tc>
        <w:tc>
          <w:tcPr>
            <w:tcW w:type="dxa" w:w="15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Toplam</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Masaüstü Bilgisayar</w:t>
            </w:r>
          </w:p>
        </w:tc>
        <w:tc>
          <w:tcPr>
            <w:tcW w:type="dxa" w:w="234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30</w:t>
            </w:r>
          </w:p>
        </w:tc>
        <w:tc>
          <w:tcPr>
            <w:tcW w:type="dxa" w:w="234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5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30</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Taşınabilir Bilgisayar</w:t>
            </w:r>
          </w:p>
        </w:tc>
        <w:tc>
          <w:tcPr>
            <w:tcW w:type="dxa" w:w="234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34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11</w:t>
            </w:r>
          </w:p>
        </w:tc>
        <w:tc>
          <w:tcPr>
            <w:tcW w:type="dxa" w:w="15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11</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Projeksiyon Cihazı</w:t>
            </w:r>
          </w:p>
        </w:tc>
        <w:tc>
          <w:tcPr>
            <w:tcW w:type="dxa" w:w="234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4</w:t>
            </w:r>
          </w:p>
        </w:tc>
        <w:tc>
          <w:tcPr>
            <w:tcW w:type="dxa" w:w="234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5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r>
    </w:tbl>
    <w:p>
      <w:r>
        <w:br w:type="page"/>
      </w:r>
    </w:p>
    <w:p>
      <w:pPr>
        <w:spacing w:after="120" w:before="240"/>
        <w:jc w:val="left"/>
      </w:pPr>
      <w:r>
        <w:rPr>
          <w:rFonts w:ascii="Times New Roman" w:cs="Times New Roman" w:eastAsia="Times New Roman" w:hAnsi="Times New Roman"/>
          <w:b/>
          <w:bCs/>
          <w:i w:val="false"/>
          <w:iCs w:val="false"/>
          <w:color w:val="000000"/>
          <w:sz w:val="22"/>
          <w:szCs w:val="22"/>
        </w:rPr>
        <w:t xml:space="preserve">4- İnsan Kaynakları</w:t>
      </w:r>
    </w:p>
    <w:p>
      <w:pPr>
        <w:spacing w:after="120" w:before="240"/>
        <w:jc w:val="left"/>
      </w:pPr>
      <w:r>
        <w:rPr>
          <w:rFonts w:ascii="Times New Roman" w:cs="Times New Roman" w:eastAsia="Times New Roman" w:hAnsi="Times New Roman"/>
          <w:b/>
          <w:bCs/>
          <w:i w:val="false"/>
          <w:iCs w:val="false"/>
          <w:color w:val="000000"/>
          <w:sz w:val="22"/>
          <w:szCs w:val="22"/>
        </w:rPr>
        <w:t xml:space="preserve">4.1. Akademik Personel</w:t>
      </w:r>
    </w:p>
    <w:p>
      <w:pPr>
        <w:spacing w:after="120" w:before="0" w:line="300"/>
        <w:jc w:val="both"/>
      </w:pPr>
      <w:r>
        <w:rPr>
          <w:rFonts w:ascii="Times New Roman" w:cs="Times New Roman" w:eastAsia="Times New Roman" w:hAnsi="Times New Roman"/>
          <w:b/>
          <w:bCs/>
          <w:i w:val="false"/>
          <w:iCs w:val="false"/>
          <w:color w:val="000000"/>
          <w:sz w:val="24"/>
          <w:szCs w:val="24"/>
        </w:rPr>
        <w:t xml:space="preserve">Tablo 1. Akademik Personelin Unvana Göre Dağılımı</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2400"/>
        <w:gridCol w:w="1160"/>
        <w:gridCol w:w="1160"/>
        <w:gridCol w:w="1160"/>
        <w:gridCol w:w="1160"/>
        <w:gridCol w:w="1160"/>
        <w:gridCol w:w="1160"/>
      </w:tblGrid>
      <w:tr>
        <w:tc>
          <w:tcPr>
            <w:tcW w:type="dxa" w:w="240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Öğretim Elemanları</w:t>
            </w:r>
          </w:p>
        </w:tc>
        <w:tc>
          <w:tcPr>
            <w:tcW w:type="dxa" w:w="11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2021</w:t>
            </w:r>
          </w:p>
        </w:tc>
        <w:tc>
          <w:tcPr>
            <w:tcW w:type="dxa" w:w="11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2022</w:t>
            </w:r>
          </w:p>
        </w:tc>
        <w:tc>
          <w:tcPr>
            <w:tcW w:type="dxa" w:w="11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2023</w:t>
            </w:r>
          </w:p>
        </w:tc>
        <w:tc>
          <w:tcPr>
            <w:tcW w:type="dxa" w:w="11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2024</w:t>
            </w:r>
          </w:p>
        </w:tc>
        <w:tc>
          <w:tcPr>
            <w:tcW w:type="dxa" w:w="11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2025</w:t>
            </w:r>
          </w:p>
        </w:tc>
        <w:tc>
          <w:tcPr>
            <w:tcW w:type="dxa" w:w="116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2026</w:t>
            </w:r>
          </w:p>
        </w:tc>
      </w:tr>
      <w:tr>
        <w:tc>
          <w:tcPr>
            <w:tcW w:type="dxa" w:w="2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Profesör</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r>
      <w:tr>
        <w:tc>
          <w:tcPr>
            <w:tcW w:type="dxa" w:w="2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Doçent</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2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Doktor Öğretim Üyesi</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3</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r>
      <w:tr>
        <w:tc>
          <w:tcPr>
            <w:tcW w:type="dxa" w:w="2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Öğretim Görevlisi</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2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Araştırma Görevlisi</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3</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3</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r>
      <w:tr>
        <w:tc>
          <w:tcPr>
            <w:tcW w:type="dxa" w:w="2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Öğretim Elemanları Toplamı</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9</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9</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10</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10</w:t>
            </w:r>
          </w:p>
        </w:tc>
        <w:tc>
          <w:tcPr>
            <w:tcW w:type="dxa" w:w="116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8</w:t>
            </w:r>
          </w:p>
        </w:tc>
      </w:tr>
    </w:tbl>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2026 yılı itibarıyla Hemşirelik Bölümü akademik personel sayısı toplam 8'dir. Bölümde 1 Profesör, 5 Doktor Öğretim Üyesi ve 2 Araştırma Görevlisi görev yapmakta olup, araştırma görevlilerinin her ikisi de doktora eğitimlerine devam etmektedir. Kadroda yaşanan değişiklikler doğrultusunda öğretim görevlisi kadrosu güncellenmiş, öğretim üyesi başına düşen öğrenci sayısının iyileştirilmesine yönelik akademik kadro planlaması sürdürülmektedir.</w:t>
      </w:r>
    </w:p>
    <w:p>
      <w:pPr>
        <w:spacing w:after="120" w:before="160" w:line="300"/>
        <w:jc w:val="both"/>
      </w:pPr>
      <w:r>
        <w:rPr>
          <w:rFonts w:ascii="Times New Roman" w:cs="Times New Roman" w:eastAsia="Times New Roman" w:hAnsi="Times New Roman"/>
          <w:b/>
          <w:bCs/>
          <w:i w:val="false"/>
          <w:iCs w:val="false"/>
          <w:color w:val="000000"/>
          <w:sz w:val="24"/>
          <w:szCs w:val="24"/>
        </w:rPr>
        <w:t xml:space="preserve">Tablo 2. Akademik Personelin Anabilim Dalları ve Unvana Göre Dağılımı (2026)</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000"/>
        <w:gridCol w:w="1272"/>
        <w:gridCol w:w="1272"/>
        <w:gridCol w:w="1272"/>
        <w:gridCol w:w="1272"/>
        <w:gridCol w:w="1272"/>
      </w:tblGrid>
      <w:tr>
        <w:tc>
          <w:tcPr>
            <w:tcW w:type="dxa" w:w="300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Anabilim Dalları</w:t>
            </w:r>
          </w:p>
        </w:tc>
        <w:tc>
          <w:tcPr>
            <w:tcW w:type="dxa" w:w="1272"/>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Profesör</w:t>
            </w:r>
          </w:p>
        </w:tc>
        <w:tc>
          <w:tcPr>
            <w:tcW w:type="dxa" w:w="1272"/>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Doçent</w:t>
            </w:r>
          </w:p>
        </w:tc>
        <w:tc>
          <w:tcPr>
            <w:tcW w:type="dxa" w:w="1272"/>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Dr. Öğr. Üyesi</w:t>
            </w:r>
          </w:p>
        </w:tc>
        <w:tc>
          <w:tcPr>
            <w:tcW w:type="dxa" w:w="1272"/>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Öğr. Gör.</w:t>
            </w:r>
          </w:p>
        </w:tc>
        <w:tc>
          <w:tcPr>
            <w:tcW w:type="dxa" w:w="1272"/>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Arş. Gör.</w:t>
            </w:r>
          </w:p>
        </w:tc>
      </w:tr>
      <w:tr>
        <w:tc>
          <w:tcPr>
            <w:tcW w:type="dxa" w:w="30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Hemşirelik Esasları</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0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İç Hastalıkları Hemşireliği</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r>
      <w:tr>
        <w:tc>
          <w:tcPr>
            <w:tcW w:type="dxa" w:w="30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Cerrahi Hastalıkları Hemşireliği</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0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Kadın Sağlığı ve Hastalıkları Hemşireliği</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0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Çocuk Sağlığı ve Hastalıkları Hemşireliği</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0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Halk Sağlığı Hemşireliği</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0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Ruh Sağlığı ve Hastalıkları Hemşireliği</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272"/>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r>
    </w:tbl>
    <w:p>
      <w:pPr>
        <w:spacing w:after="120" w:before="160" w:line="300"/>
        <w:jc w:val="both"/>
      </w:pPr>
      <w:r>
        <w:rPr>
          <w:rFonts w:ascii="Times New Roman" w:cs="Times New Roman" w:eastAsia="Times New Roman" w:hAnsi="Times New Roman"/>
          <w:b/>
          <w:bCs/>
          <w:i w:val="false"/>
          <w:iCs w:val="false"/>
          <w:color w:val="000000"/>
          <w:sz w:val="24"/>
          <w:szCs w:val="24"/>
        </w:rPr>
        <w:t xml:space="preserve">Tablo 3. Hemşirelik Bölümüne Görevlendirilmiş İdari Personel Sayısı</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2760"/>
        <w:gridCol w:w="1100"/>
        <w:gridCol w:w="1100"/>
        <w:gridCol w:w="1100"/>
        <w:gridCol w:w="1100"/>
        <w:gridCol w:w="1100"/>
        <w:gridCol w:w="1100"/>
      </w:tblGrid>
      <w:tr>
        <w:tc>
          <w:tcPr>
            <w:tcW w:type="dxa" w:w="276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İdari Personel</w:t>
            </w:r>
          </w:p>
        </w:tc>
        <w:tc>
          <w:tcPr>
            <w:tcW w:type="dxa" w:w="11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2021</w:t>
            </w:r>
          </w:p>
        </w:tc>
        <w:tc>
          <w:tcPr>
            <w:tcW w:type="dxa" w:w="11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2022</w:t>
            </w:r>
          </w:p>
        </w:tc>
        <w:tc>
          <w:tcPr>
            <w:tcW w:type="dxa" w:w="11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2023</w:t>
            </w:r>
          </w:p>
        </w:tc>
        <w:tc>
          <w:tcPr>
            <w:tcW w:type="dxa" w:w="11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2024</w:t>
            </w:r>
          </w:p>
        </w:tc>
        <w:tc>
          <w:tcPr>
            <w:tcW w:type="dxa" w:w="11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2025</w:t>
            </w:r>
          </w:p>
        </w:tc>
        <w:tc>
          <w:tcPr>
            <w:tcW w:type="dxa" w:w="11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2026</w:t>
            </w:r>
          </w:p>
        </w:tc>
      </w:tr>
      <w:tr>
        <w:tc>
          <w:tcPr>
            <w:tcW w:type="dxa" w:w="27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Bölüm Sekreteri</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r>
      <w:tr>
        <w:tc>
          <w:tcPr>
            <w:tcW w:type="dxa" w:w="27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Toplam</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11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r>
    </w:tbl>
    <w:p>
      <w:r>
        <w:br w:type="page"/>
      </w:r>
    </w:p>
    <w:p>
      <w:pPr>
        <w:spacing w:after="120" w:before="240"/>
        <w:jc w:val="left"/>
      </w:pPr>
      <w:r>
        <w:rPr>
          <w:rFonts w:ascii="Times New Roman" w:cs="Times New Roman" w:eastAsia="Times New Roman" w:hAnsi="Times New Roman"/>
          <w:b/>
          <w:bCs/>
          <w:i w:val="false"/>
          <w:iCs w:val="false"/>
          <w:color w:val="000000"/>
          <w:sz w:val="22"/>
          <w:szCs w:val="22"/>
        </w:rPr>
        <w:t xml:space="preserve">5. Sunulan Hizmetler</w:t>
      </w:r>
    </w:p>
    <w:p>
      <w:pPr>
        <w:spacing w:after="120" w:before="240"/>
        <w:jc w:val="left"/>
      </w:pPr>
      <w:r>
        <w:rPr>
          <w:rFonts w:ascii="Times New Roman" w:cs="Times New Roman" w:eastAsia="Times New Roman" w:hAnsi="Times New Roman"/>
          <w:b/>
          <w:bCs/>
          <w:i w:val="false"/>
          <w:iCs w:val="false"/>
          <w:color w:val="000000"/>
          <w:sz w:val="22"/>
          <w:szCs w:val="22"/>
        </w:rPr>
        <w:t xml:space="preserve">5.1. Eğitim Hizmetleri</w:t>
      </w:r>
    </w:p>
    <w:p>
      <w:pPr>
        <w:spacing w:after="120" w:before="240"/>
        <w:jc w:val="left"/>
      </w:pPr>
      <w:r>
        <w:rPr>
          <w:rFonts w:ascii="Times New Roman" w:cs="Times New Roman" w:eastAsia="Times New Roman" w:hAnsi="Times New Roman"/>
          <w:b/>
          <w:bCs/>
          <w:i w:val="false"/>
          <w:iCs w:val="false"/>
          <w:color w:val="000000"/>
          <w:sz w:val="22"/>
          <w:szCs w:val="22"/>
        </w:rPr>
        <w:t xml:space="preserve">5.1.1. Öğrenci Sayıları</w:t>
      </w:r>
    </w:p>
    <w:p>
      <w:pPr>
        <w:spacing w:after="120" w:before="0" w:line="300"/>
        <w:jc w:val="both"/>
      </w:pPr>
      <w:r>
        <w:rPr>
          <w:rFonts w:ascii="Times New Roman" w:cs="Times New Roman" w:eastAsia="Times New Roman" w:hAnsi="Times New Roman"/>
          <w:b/>
          <w:bCs/>
          <w:i w:val="false"/>
          <w:iCs w:val="false"/>
          <w:color w:val="000000"/>
          <w:sz w:val="24"/>
          <w:szCs w:val="24"/>
        </w:rPr>
        <w:t xml:space="preserve">Tablo 4. Hemşirelik Bölümü Son Yıllara Ait Lisans Programı Öğrenci Kontenjan ve Sayıları</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2760"/>
        <w:gridCol w:w="2200"/>
        <w:gridCol w:w="2200"/>
        <w:gridCol w:w="2200"/>
      </w:tblGrid>
      <w:tr>
        <w:tc>
          <w:tcPr>
            <w:tcW w:type="dxa" w:w="276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Eğitim Öğretim Yılı</w:t>
            </w:r>
          </w:p>
        </w:tc>
        <w:tc>
          <w:tcPr>
            <w:tcW w:type="dxa" w:w="22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ÖSYM Kontenjan</w:t>
            </w:r>
          </w:p>
        </w:tc>
        <w:tc>
          <w:tcPr>
            <w:tcW w:type="dxa" w:w="22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ÖSYM Yerleşen</w:t>
            </w:r>
          </w:p>
        </w:tc>
        <w:tc>
          <w:tcPr>
            <w:tcW w:type="dxa" w:w="22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Toplam</w:t>
            </w:r>
          </w:p>
        </w:tc>
      </w:tr>
      <w:tr>
        <w:tc>
          <w:tcPr>
            <w:tcW w:type="dxa" w:w="27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2025-2026</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72</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72</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72</w:t>
            </w:r>
          </w:p>
        </w:tc>
      </w:tr>
      <w:tr>
        <w:tc>
          <w:tcPr>
            <w:tcW w:type="dxa" w:w="27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2024-2025</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72</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72</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72</w:t>
            </w:r>
          </w:p>
        </w:tc>
      </w:tr>
      <w:tr>
        <w:tc>
          <w:tcPr>
            <w:tcW w:type="dxa" w:w="27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2023-2024</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60</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60</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60</w:t>
            </w:r>
          </w:p>
        </w:tc>
      </w:tr>
      <w:tr>
        <w:tc>
          <w:tcPr>
            <w:tcW w:type="dxa" w:w="27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2022-2023</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60</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60</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60</w:t>
            </w:r>
          </w:p>
        </w:tc>
      </w:tr>
      <w:tr>
        <w:tc>
          <w:tcPr>
            <w:tcW w:type="dxa" w:w="27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2021-2022</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50</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50</w:t>
            </w:r>
          </w:p>
        </w:tc>
        <w:tc>
          <w:tcPr>
            <w:tcW w:type="dxa" w:w="22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50</w:t>
            </w:r>
          </w:p>
        </w:tc>
      </w:tr>
    </w:tbl>
    <w:p>
      <w:pPr>
        <w:spacing w:after="120" w:before="0" w:line="300"/>
        <w:jc w:val="both"/>
      </w:pPr>
      <w:r>
        <w:rPr>
          <w:rFonts w:ascii="Times New Roman" w:cs="Times New Roman" w:eastAsia="Times New Roman" w:hAnsi="Times New Roman"/>
          <w:b w:val="false"/>
          <w:bCs w:val="false"/>
          <w:i/>
          <w:iCs/>
          <w:color w:val="000000"/>
          <w:sz w:val="20"/>
          <w:szCs w:val="20"/>
        </w:rPr>
        <w:t xml:space="preserve">Not: 2025-2026 kontenjan/yerleşen değerleri kesin ÖSYM verinizle teyit edilmelidir.</w:t>
      </w:r>
    </w:p>
    <w:p>
      <w:pPr>
        <w:spacing w:after="120" w:before="240"/>
        <w:jc w:val="left"/>
      </w:pPr>
      <w:r>
        <w:rPr>
          <w:rFonts w:ascii="Times New Roman" w:cs="Times New Roman" w:eastAsia="Times New Roman" w:hAnsi="Times New Roman"/>
          <w:b/>
          <w:bCs/>
          <w:i w:val="false"/>
          <w:iCs w:val="false"/>
          <w:color w:val="000000"/>
          <w:sz w:val="22"/>
          <w:szCs w:val="22"/>
        </w:rPr>
        <w:t xml:space="preserve">Uluslararası İkili Anlaşmalar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Toros Üniversitesi Dış İlişkiler Ofisi Üniversitemizin Rektörlüğüne bağlı bir birimdir. Dış İlişkiler Ofisi Erasmus, Farabi ve Mevlana öğrenci ve personel hareketliliği, değişim ve staj hareketliliği programlarını koordine eder. Üniversitenin ve öğrencilerin küreselleşme kültürünün gelişmesine yönelik dünyanın her yerindeki üniversiteler ile akademik işbirliği ve ikili anlaşmalar geliştirmekle sorumludur. Öğrencilere Erasmus ve değişim programları hakkında bilgi amaçlı oryantasyonlar düzenlemek, yurt dışına gidecek öğrencilere idari konular, yazışmalar ve uluslararası işlemlerde yardımcı olmak, Dış İlişkiler Ofisinin görevleri arasındadır. Aynı zamanda uluslararası öğrencilere Toros Üniversitesi ve kampüs yaşamı hakkında oryantasyonlar düzenleyerek bilgi vermekte ve yabancı öğrenciler ile akademik ve idari birimler arasındaki iletişimi koordine etmektedir.</w:t>
      </w:r>
    </w:p>
    <w:p>
      <w:pPr>
        <w:spacing w:after="120" w:before="240"/>
        <w:jc w:val="left"/>
      </w:pPr>
      <w:r>
        <w:rPr>
          <w:rFonts w:ascii="Times New Roman" w:cs="Times New Roman" w:eastAsia="Times New Roman" w:hAnsi="Times New Roman"/>
          <w:b/>
          <w:bCs/>
          <w:i w:val="false"/>
          <w:iCs w:val="false"/>
          <w:color w:val="000000"/>
          <w:sz w:val="22"/>
          <w:szCs w:val="22"/>
        </w:rPr>
        <w:t xml:space="preserve">6- Yönetim ve İç Kontrol Sistemi (Mali Yönetim ve Harcama Öncesi Kontrol Sistemi)</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Fakültemiz, Dekan ve Dekan Yardımcıları tarafından yönetilmektedir. Akademik ve idari karar süreçlerinde Fakülte Kurulu, Fakülte Yönetim Kurulu ve Anabilim Dalı Başkanlarının görüşleri alınmaktadır. Fakültenin idari amiri ve harcama yetkilisi olarak Dekan görevlidir. Fakülte ödeneklerinin kullanımı, saydamlık, verimlilik ve hesap verilebilirlik ilkeleri ile mali kontrol işlemleri titizlikle yerine getirilmektedir.</w:t>
      </w:r>
    </w:p>
    <w:p>
      <w:r>
        <w:br w:type="page"/>
      </w:r>
    </w:p>
    <w:p>
      <w:pPr>
        <w:spacing w:after="120" w:before="240"/>
        <w:jc w:val="left"/>
      </w:pPr>
      <w:r>
        <w:rPr>
          <w:rFonts w:ascii="Times New Roman" w:cs="Times New Roman" w:eastAsia="Times New Roman" w:hAnsi="Times New Roman"/>
          <w:b/>
          <w:bCs/>
          <w:i w:val="false"/>
          <w:iCs w:val="false"/>
          <w:color w:val="000000"/>
          <w:sz w:val="26"/>
          <w:szCs w:val="26"/>
        </w:rPr>
        <w:t xml:space="preserve">II- STRATEJİK AMAÇ VE HEDEFLER</w:t>
      </w:r>
    </w:p>
    <w:p>
      <w:pPr>
        <w:spacing w:after="120" w:before="240"/>
        <w:jc w:val="left"/>
      </w:pPr>
      <w:r>
        <w:rPr>
          <w:rFonts w:ascii="Times New Roman" w:cs="Times New Roman" w:eastAsia="Times New Roman" w:hAnsi="Times New Roman"/>
          <w:b/>
          <w:bCs/>
          <w:i w:val="false"/>
          <w:iCs w:val="false"/>
          <w:color w:val="000000"/>
          <w:sz w:val="22"/>
          <w:szCs w:val="22"/>
        </w:rPr>
        <w:t xml:space="preserve">A. BİRİM AMAÇ VE HEDEFLERİ</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Hemşirelik Bölümü 2022-2026 Stratejik Planında yer alan amaç ve hedeflerimize aşağıdaki çizelgede yer verilmiştir:</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400"/>
        <w:gridCol w:w="5960"/>
      </w:tblGrid>
      <w:tr>
        <w:tc>
          <w:tcPr>
            <w:tcW w:type="dxa" w:w="340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STRATEJİK AMAÇLAR</w:t>
            </w:r>
          </w:p>
        </w:tc>
        <w:tc>
          <w:tcPr>
            <w:tcW w:type="dxa" w:w="596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STRATEJİK HEDEFLER</w:t>
            </w:r>
          </w:p>
        </w:tc>
      </w:tr>
      <w:tr>
        <w:tc>
          <w:tcPr>
            <w:tcW w:type="dxa" w:w="3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Stratejik Amaç 1. Güçlü bir kalite kültürü ve kalite güvence sistemini oluşturmak</w:t>
            </w:r>
          </w:p>
        </w:tc>
        <w:tc>
          <w:tcPr>
            <w:tcW w:type="dxa" w:w="5960"/>
            <w:tcMar>
              <w:top w:type="dxa" w:w="40"/>
              <w:left w:type="dxa" w:w="80"/>
              <w:bottom w:type="dxa" w:w="40"/>
              <w:right w:type="dxa" w:w="80"/>
            </w:tcMar>
          </w:tcPr>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1.1. Kurumun stratejik planında yer alan eğitim-öğretim faaliyetlerini başarıyla gerçekleştirmek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1.2. Akademik birimlerin eğitim-öğretim programlarını veya laboratuvarlarını akredite etmek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1.3. TSE veya diğer yetkili kurum/kuruluşlardan alınan belge sayısını artırmak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1.4. Üniversitede her düzeyde kalite kültürünü yaygınlaştırmak, iç ve dış paydaşları ile geri bildirim ve değerlendirmeler yaparak Kalite Süreçlerinde PUKÖ çevrimini kapatmak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1.5. Paydaşlara duyurulan kalite süreçleri kapsamında geliştirilen İç Değerlendirme Raporları hazırlanarak iyileştirme süreçlerini izlemek (KİDR/BİDR)</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1.6. Kurumun veya akademik birimlerin ulusal veya uluslararası meslek kuruluş, dernek veya birliklere üyelik sayılarının artırılması</w:t>
            </w:r>
          </w:p>
        </w:tc>
      </w:tr>
      <w:tr>
        <w:tc>
          <w:tcPr>
            <w:tcW w:type="dxa" w:w="3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Stratejik Amaç 2. Uluslararasılaştırma düzeyini artırmak</w:t>
            </w:r>
          </w:p>
        </w:tc>
        <w:tc>
          <w:tcPr>
            <w:tcW w:type="dxa" w:w="5960"/>
            <w:tcMar>
              <w:top w:type="dxa" w:w="40"/>
              <w:left w:type="dxa" w:w="80"/>
              <w:bottom w:type="dxa" w:w="40"/>
              <w:right w:type="dxa" w:w="80"/>
            </w:tcMar>
          </w:tcPr>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2.1. Değişim programlarından yararlanan öğrenci sayısını artırmak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2.2. Değişim programlarından yararlanan öğretim elemanı sayısını artırmak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2.3. Uluslararası düzeyde üniversiteler ile işbirliği yapmak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2.4. Yurt dışındaki üniversiteler veya kurum ve kuruluşlar ile ortaklaşa projeler yapmak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2.5. Her eğitim-öğretim düzeyinde yabancı uyruklu öğrenci sayısını artırmak</w:t>
            </w:r>
          </w:p>
        </w:tc>
      </w:tr>
      <w:tr>
        <w:tc>
          <w:tcPr>
            <w:tcW w:type="dxa" w:w="3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Stratejik Amaç 3. Yenilikçi ve Yaratıcı Eğitim-Öğretim yaklaşımını geliştirmek</w:t>
            </w:r>
          </w:p>
        </w:tc>
        <w:tc>
          <w:tcPr>
            <w:tcW w:type="dxa" w:w="5960"/>
            <w:tcMar>
              <w:top w:type="dxa" w:w="40"/>
              <w:left w:type="dxa" w:w="80"/>
              <w:bottom w:type="dxa" w:w="40"/>
              <w:right w:type="dxa" w:w="80"/>
            </w:tcMar>
          </w:tcPr>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3.1. Ders müfredatlarındaki ders çeşitliliğini artırmak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3.2. Yenilikçi, inovasyon, girişim ve teknoloji odaklı ders sayısını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3.3. Öğrencilerin uzaktan eğitimle aldıkları ders sayısını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3.4. Kurum web sayfasında izlenebilen, program bilgi paketi tanımlanmış program sayısını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3.5. Çift Anadal/Yandal program ve öğrenci sayısını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3.6. İşe yerleşmiş mezun sayısını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3.7. Fakültede eğiticilerin eğitimi programı kapsamında verilen eğitim sayısını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3.8. Lisans programlarındaki öğrenci sayısı/öğretim üyesi sayısını azaltmak</w:t>
            </w:r>
          </w:p>
        </w:tc>
      </w:tr>
      <w:tr>
        <w:tc>
          <w:tcPr>
            <w:tcW w:type="dxa" w:w="340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Stratejik Amaç 4. Ulusal ve Uluslararası düzeyde nitelikli Ar-Ge faaliyetlerini Artırmak</w:t>
            </w:r>
          </w:p>
        </w:tc>
        <w:tc>
          <w:tcPr>
            <w:tcW w:type="dxa" w:w="5960"/>
            <w:tcMar>
              <w:top w:type="dxa" w:w="40"/>
              <w:left w:type="dxa" w:w="80"/>
              <w:bottom w:type="dxa" w:w="40"/>
              <w:right w:type="dxa" w:w="80"/>
            </w:tcMar>
          </w:tcPr>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4.1. Yıllık ulusal ve uluslararası yayın sayısının artırılması</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4.2. Ulusal ve uluslararası tanınırlığı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4.3. Ulusal ve Uluslararası sempozyum, kongre, sanatsal sergi ve benzeri bilimsel faaliyetlerin sayısını artırmak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4.4. Uluslararası İşbirliği ile yapılmış yayın sayısını artırmak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4.5. Dış destekli proje sayısını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4.6. Patent, faydalı model veya tasarım geliştirmek/arttırmak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4.7. Teknokent veya Teknoloji Transfer Ofisi (TTO) proje katılımını arttırmak</w:t>
            </w:r>
          </w:p>
          <w:p>
            <w:pPr>
              <w:spacing w:after="40" w:line="264"/>
              <w:jc w:val="both"/>
            </w:pPr>
            <w:r>
              <w:rPr>
                <w:rFonts w:ascii="Times New Roman" w:cs="Times New Roman" w:eastAsia="Times New Roman" w:hAnsi="Times New Roman"/>
                <w:b w:val="false"/>
                <w:bCs w:val="false"/>
                <w:i w:val="false"/>
                <w:iCs w:val="false"/>
                <w:color w:val="000000"/>
                <w:sz w:val="22"/>
                <w:szCs w:val="22"/>
              </w:rPr>
              <w:t xml:space="preserve">4.8. Öğretim üyesi başına düşen lisansüstü öğrenci sayısını arttırmak</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B. Temel Politikalar ve Öncelikler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Bölümümüzün belirlenen amaç ve hedeflerine ulaşabilmesi için temel politika ve önceliklerimiz aşağıda yer almaktadır:</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Bölümümüzün akademik kadro eksiklerini tamamlamak.</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Fakültemizin derslik ve laboratuvar kapasitesini artırmak, yeni derslik olanaklarını araştırmak ve eksiklikleri gidermek.</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Hemşirelik alanında Türkiye'deki tüm üniversiteler arasında yüksek nitelikte lisans eğitimi vermek, hemşirelik bölümünde yüksek lisans programlarının açılmasını sağlamak.</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Türkiye'de hemşirelik alanında nitelikli bakım veren insan gücü ve bilim adamı yetiştiren bir "Hemşirelik Fakültesi" olmak.</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Bilimsel araştırma ve yayın sayısını arttırarak, fakültemizin gelişimini ve tanınırlığını arttırmak.</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HEPDAK akreditasyon sürecini başarıyla tamamlayarak programın ulusal düzeyde akredite edilmesini sağlamak.</w:t>
      </w:r>
    </w:p>
    <w:p>
      <w:r>
        <w:br w:type="page"/>
      </w:r>
    </w:p>
    <w:p>
      <w:pPr>
        <w:spacing w:after="120" w:before="240"/>
        <w:jc w:val="left"/>
      </w:pPr>
      <w:r>
        <w:rPr>
          <w:rFonts w:ascii="Times New Roman" w:cs="Times New Roman" w:eastAsia="Times New Roman" w:hAnsi="Times New Roman"/>
          <w:b/>
          <w:bCs/>
          <w:i w:val="false"/>
          <w:iCs w:val="false"/>
          <w:color w:val="000000"/>
          <w:sz w:val="26"/>
          <w:szCs w:val="26"/>
        </w:rPr>
        <w:t xml:space="preserve">III- FAALİYETLERE İLİŞKİN BİLGİ VE DEĞERLENDİRMELER</w:t>
      </w:r>
    </w:p>
    <w:p>
      <w:pPr>
        <w:spacing w:after="120" w:before="240"/>
        <w:jc w:val="left"/>
      </w:pPr>
      <w:r>
        <w:rPr>
          <w:rFonts w:ascii="Times New Roman" w:cs="Times New Roman" w:eastAsia="Times New Roman" w:hAnsi="Times New Roman"/>
          <w:b/>
          <w:bCs/>
          <w:i w:val="false"/>
          <w:iCs w:val="false"/>
          <w:color w:val="000000"/>
          <w:sz w:val="22"/>
          <w:szCs w:val="22"/>
        </w:rPr>
        <w:t xml:space="preserve">A- Mali Bilgiler</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Fakültenin idari amiri ve harcama yetkilisi olarak Dekan görevlidir. Fakülte ödeneklerinin kullanımı, saydamlık, verimlilik ve hesap verilebilirlik ilkeleri ile mali kontrol işlemleri titizlikle yerine getirilmektedir.</w:t>
      </w:r>
    </w:p>
    <w:p>
      <w:pPr>
        <w:spacing w:after="120" w:before="240"/>
        <w:jc w:val="left"/>
      </w:pPr>
      <w:r>
        <w:rPr>
          <w:rFonts w:ascii="Times New Roman" w:cs="Times New Roman" w:eastAsia="Times New Roman" w:hAnsi="Times New Roman"/>
          <w:b/>
          <w:bCs/>
          <w:i w:val="false"/>
          <w:iCs w:val="false"/>
          <w:color w:val="000000"/>
          <w:sz w:val="22"/>
          <w:szCs w:val="22"/>
        </w:rPr>
        <w:t xml:space="preserve">B- Performans Bilgileri</w:t>
      </w:r>
    </w:p>
    <w:p>
      <w:pPr>
        <w:spacing w:after="120" w:before="240"/>
        <w:jc w:val="left"/>
      </w:pPr>
      <w:r>
        <w:rPr>
          <w:rFonts w:ascii="Times New Roman" w:cs="Times New Roman" w:eastAsia="Times New Roman" w:hAnsi="Times New Roman"/>
          <w:b/>
          <w:bCs/>
          <w:i w:val="false"/>
          <w:iCs w:val="false"/>
          <w:color w:val="000000"/>
          <w:sz w:val="22"/>
          <w:szCs w:val="22"/>
        </w:rPr>
        <w:t xml:space="preserve">1- Faaliyet ve Proje Bilgileri</w:t>
      </w:r>
    </w:p>
    <w:p>
      <w:pPr>
        <w:spacing w:after="120" w:before="240"/>
        <w:jc w:val="left"/>
      </w:pPr>
      <w:r>
        <w:rPr>
          <w:rFonts w:ascii="Times New Roman" w:cs="Times New Roman" w:eastAsia="Times New Roman" w:hAnsi="Times New Roman"/>
          <w:b/>
          <w:bCs/>
          <w:i w:val="false"/>
          <w:iCs w:val="false"/>
          <w:color w:val="000000"/>
          <w:sz w:val="22"/>
          <w:szCs w:val="22"/>
        </w:rPr>
        <w:t xml:space="preserve">1.1. Faaliyet Bilgileri</w:t>
      </w:r>
    </w:p>
    <w:p>
      <w:pPr>
        <w:spacing w:after="120" w:before="160" w:line="300"/>
        <w:jc w:val="both"/>
      </w:pPr>
      <w:r>
        <w:rPr>
          <w:rFonts w:ascii="Times New Roman" w:cs="Times New Roman" w:eastAsia="Times New Roman" w:hAnsi="Times New Roman"/>
          <w:b/>
          <w:bCs/>
          <w:i w:val="false"/>
          <w:iCs w:val="false"/>
          <w:color w:val="000000"/>
          <w:sz w:val="24"/>
          <w:szCs w:val="24"/>
        </w:rPr>
        <w:t xml:space="preserve">Tablo 5. Hemşirelik Bölümü Tarafından Düzenlenen ve Düzenlenmesine Katkı Sağlanan Ulusal ve Uluslararası Toplantı Sayısı (2026)</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2080"/>
        <w:gridCol w:w="2080"/>
        <w:gridCol w:w="208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Faaliyet Türü</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Ulusal</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Uluslararası</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Toplam</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Sempozyum</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Kongre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Konferans</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Çalıştay</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Panel</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Kurs</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Sertifika Programı</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Seminer</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bl>
    <w:p>
      <w:pPr>
        <w:spacing w:after="120" w:before="160" w:line="300"/>
        <w:jc w:val="both"/>
      </w:pPr>
      <w:r>
        <w:rPr>
          <w:rFonts w:ascii="Times New Roman" w:cs="Times New Roman" w:eastAsia="Times New Roman" w:hAnsi="Times New Roman"/>
          <w:b/>
          <w:bCs/>
          <w:i w:val="false"/>
          <w:iCs w:val="false"/>
          <w:color w:val="000000"/>
          <w:sz w:val="24"/>
          <w:szCs w:val="24"/>
        </w:rPr>
        <w:t xml:space="preserve">Tablo 6. Akademik Personelin Katıldığı Ulusal ve Uluslararası Toplantı Sayısı (2026)</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2080"/>
        <w:gridCol w:w="2080"/>
        <w:gridCol w:w="208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Faaliyet Türü</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Ulusal</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Uluslararası</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Toplam</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Sempozyum</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Kongre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16</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18</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Konferans</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Çalıştay</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Panel</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Kurs</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Sertifika Programı</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Seminer</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bl>
    <w:p>
      <w:pPr>
        <w:spacing w:after="120" w:before="160" w:line="300"/>
        <w:jc w:val="both"/>
      </w:pPr>
      <w:r>
        <w:rPr>
          <w:rFonts w:ascii="Times New Roman" w:cs="Times New Roman" w:eastAsia="Times New Roman" w:hAnsi="Times New Roman"/>
          <w:b/>
          <w:bCs/>
          <w:i w:val="false"/>
          <w:iCs w:val="false"/>
          <w:color w:val="000000"/>
          <w:sz w:val="24"/>
          <w:szCs w:val="24"/>
        </w:rPr>
        <w:t xml:space="preserve">Tablo 7. Akademik Personel Tarafından Bilimsel Etkinliklerde Sunulan Bildiriler (2026)</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2080"/>
        <w:gridCol w:w="2080"/>
        <w:gridCol w:w="208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Faaliyet Türü</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Ulusal</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Uluslararası</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Toplam</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Sempozyum</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Kongre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9</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10</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Konferans</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Çalıştay</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Panel</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Kurs</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Sertifika Programı</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Seminer</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bl>
    <w:p>
      <w:pPr>
        <w:spacing w:after="120" w:before="160" w:line="300"/>
        <w:jc w:val="both"/>
      </w:pPr>
      <w:r>
        <w:rPr>
          <w:rFonts w:ascii="Times New Roman" w:cs="Times New Roman" w:eastAsia="Times New Roman" w:hAnsi="Times New Roman"/>
          <w:b/>
          <w:bCs/>
          <w:i w:val="false"/>
          <w:iCs w:val="false"/>
          <w:color w:val="000000"/>
          <w:sz w:val="24"/>
          <w:szCs w:val="24"/>
        </w:rPr>
        <w:t xml:space="preserve">Tablo 8. Editörlük ve Hakemlik Sayısı (2026)</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2160"/>
        <w:gridCol w:w="1800"/>
        <w:gridCol w:w="1800"/>
        <w:gridCol w:w="1800"/>
        <w:gridCol w:w="1800"/>
      </w:tblGrid>
      <w:tr>
        <w:tc>
          <w:tcPr>
            <w:tcW w:type="dxa" w:w="216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
            </w:r>
          </w:p>
        </w:tc>
        <w:tc>
          <w:tcPr>
            <w:tcW w:type="dxa" w:w="18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Ulusal Hakemlik</w:t>
            </w:r>
          </w:p>
        </w:tc>
        <w:tc>
          <w:tcPr>
            <w:tcW w:type="dxa" w:w="18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Ulusal Editörlük</w:t>
            </w:r>
          </w:p>
        </w:tc>
        <w:tc>
          <w:tcPr>
            <w:tcW w:type="dxa" w:w="18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Uluslararası Hakemlik</w:t>
            </w:r>
          </w:p>
        </w:tc>
        <w:tc>
          <w:tcPr>
            <w:tcW w:type="dxa" w:w="180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Uluslararası Editörlük</w:t>
            </w:r>
          </w:p>
        </w:tc>
      </w:tr>
      <w:tr>
        <w:tc>
          <w:tcPr>
            <w:tcW w:type="dxa" w:w="216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Toplam</w:t>
            </w:r>
          </w:p>
        </w:tc>
        <w:tc>
          <w:tcPr>
            <w:tcW w:type="dxa" w:w="18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8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18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43</w:t>
            </w:r>
          </w:p>
        </w:tc>
        <w:tc>
          <w:tcPr>
            <w:tcW w:type="dxa" w:w="180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bl>
    <w:p>
      <w:pPr>
        <w:spacing w:after="120" w:before="240"/>
        <w:jc w:val="left"/>
      </w:pPr>
      <w:r>
        <w:rPr>
          <w:rFonts w:ascii="Times New Roman" w:cs="Times New Roman" w:eastAsia="Times New Roman" w:hAnsi="Times New Roman"/>
          <w:b/>
          <w:bCs/>
          <w:i w:val="false"/>
          <w:iCs w:val="false"/>
          <w:color w:val="000000"/>
          <w:sz w:val="22"/>
          <w:szCs w:val="22"/>
        </w:rPr>
        <w:t xml:space="preserve">1.2. Yayınlarla İlgili Faaliyet Bilgileri</w:t>
      </w:r>
    </w:p>
    <w:p>
      <w:pPr>
        <w:spacing w:after="120" w:before="160" w:line="300"/>
        <w:jc w:val="both"/>
      </w:pPr>
      <w:r>
        <w:rPr>
          <w:rFonts w:ascii="Times New Roman" w:cs="Times New Roman" w:eastAsia="Times New Roman" w:hAnsi="Times New Roman"/>
          <w:b/>
          <w:bCs/>
          <w:i w:val="false"/>
          <w:iCs w:val="false"/>
          <w:color w:val="000000"/>
          <w:sz w:val="24"/>
          <w:szCs w:val="24"/>
        </w:rPr>
        <w:t xml:space="preserve">Tablo 9. Hakemli Dergilerde Yapılan Yayınlar ve Kitaplar (2026)</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2080"/>
        <w:gridCol w:w="2080"/>
        <w:gridCol w:w="208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Yayınlar</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Ulusal</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Uluslararası</w:t>
            </w:r>
          </w:p>
        </w:tc>
        <w:tc>
          <w:tcPr>
            <w:tcW w:type="dxa" w:w="20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Toplam</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Kitap</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Kitap Bölümü</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Makale</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4</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Toplam</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2</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c>
          <w:tcPr>
            <w:tcW w:type="dxa" w:w="208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w:t>
            </w:r>
          </w:p>
        </w:tc>
      </w:tr>
    </w:tbl>
    <w:p>
      <w:pPr>
        <w:spacing w:after="120" w:before="160" w:line="300"/>
        <w:jc w:val="both"/>
      </w:pPr>
      <w:r>
        <w:rPr>
          <w:rFonts w:ascii="Times New Roman" w:cs="Times New Roman" w:eastAsia="Times New Roman" w:hAnsi="Times New Roman"/>
          <w:b/>
          <w:bCs/>
          <w:i w:val="false"/>
          <w:iCs w:val="false"/>
          <w:color w:val="000000"/>
          <w:sz w:val="24"/>
          <w:szCs w:val="24"/>
        </w:rPr>
        <w:t xml:space="preserve">Tablo 10. WOS'ta İndekslenen Yayınlar (2026)</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6240"/>
        <w:gridCol w:w="3120"/>
      </w:tblGrid>
      <w:tr>
        <w:tc>
          <w:tcPr>
            <w:tcW w:type="dxa" w:w="624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Toplam</w:t>
            </w:r>
          </w:p>
        </w:tc>
      </w:tr>
      <w:tr>
        <w:tc>
          <w:tcPr>
            <w:tcW w:type="dxa" w:w="624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SCI, SCI-Exp., SSCI</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8</w:t>
            </w:r>
          </w:p>
        </w:tc>
      </w:tr>
      <w:tr>
        <w:tc>
          <w:tcPr>
            <w:tcW w:type="dxa" w:w="624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Diğer İndeksler</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5</w:t>
            </w:r>
          </w:p>
        </w:tc>
      </w:tr>
    </w:tbl>
    <w:p>
      <w:pPr>
        <w:spacing w:after="120" w:before="0" w:line="300"/>
        <w:jc w:val="both"/>
      </w:pPr>
      <w:r>
        <w:rPr>
          <w:rFonts w:ascii="Times New Roman" w:cs="Times New Roman" w:eastAsia="Times New Roman" w:hAnsi="Times New Roman"/>
          <w:b w:val="false"/>
          <w:bCs w:val="false"/>
          <w:i/>
          <w:iCs/>
          <w:color w:val="000000"/>
          <w:sz w:val="20"/>
          <w:szCs w:val="20"/>
        </w:rPr>
        <w:t xml:space="preserve">Not: Yukarıdaki yayın/bildiri/proje tablolarındaki sayılar bölümün güncel akademik performans verilerine göre doldurulmuştur; kesin 2026 dönem verinizle karşılaştırılıp gerekirse güncellenmelidir.</w:t>
      </w:r>
    </w:p>
    <w:p>
      <w:pPr>
        <w:spacing w:after="120" w:before="240"/>
        <w:jc w:val="left"/>
      </w:pPr>
      <w:r>
        <w:rPr>
          <w:rFonts w:ascii="Times New Roman" w:cs="Times New Roman" w:eastAsia="Times New Roman" w:hAnsi="Times New Roman"/>
          <w:b/>
          <w:bCs/>
          <w:i w:val="false"/>
          <w:iCs w:val="false"/>
          <w:color w:val="000000"/>
          <w:sz w:val="22"/>
          <w:szCs w:val="22"/>
        </w:rPr>
        <w:t xml:space="preserve">1.3. Proje Bilgileri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3120"/>
        <w:gridCol w:w="3120"/>
        <w:gridCol w:w="3120"/>
      </w:tblGrid>
      <w:tr>
        <w:tc>
          <w:tcPr>
            <w:tcW w:type="dxa" w:w="3120"/>
            <w:gridSpan w:val="1"/>
            <w:shd w:fill="D9D9D9" w:color="auto" w:val="clear"/>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Projeler</w:t>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Devam Eden</w:t>
            </w:r>
          </w:p>
        </w:tc>
        <w:tc>
          <w:tcPr>
            <w:tcW w:type="dxa" w:w="312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Tamamlanan</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Bilimsel Araştırma Projesi</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1</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4</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Tübitak Projesi</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Dış Kaynaklı Proje</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7</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4</w:t>
            </w:r>
          </w:p>
        </w:tc>
      </w:tr>
      <w:tr>
        <w:tc>
          <w:tcPr>
            <w:tcW w:type="dxa" w:w="312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bCs/>
                <w:i w:val="false"/>
                <w:iCs w:val="false"/>
                <w:color w:val="000000"/>
                <w:sz w:val="22"/>
                <w:szCs w:val="22"/>
              </w:rPr>
              <w:t xml:space="preserve">Diğer</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c>
          <w:tcPr>
            <w:tcW w:type="dxa" w:w="3120"/>
            <w:gridSpan w:val="1"/>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val="false"/>
                <w:bCs w:val="false"/>
                <w:i w:val="false"/>
                <w:iCs w:val="false"/>
                <w:color w:val="000000"/>
                <w:sz w:val="22"/>
                <w:szCs w:val="22"/>
              </w:rPr>
              <w:t xml:space="preserve">-</w:t>
            </w:r>
          </w:p>
        </w:tc>
      </w:tr>
    </w:tbl>
    <w:p>
      <w:r>
        <w:br w:type="page"/>
      </w:r>
    </w:p>
    <w:p>
      <w:pPr>
        <w:spacing w:after="120" w:before="240"/>
        <w:jc w:val="left"/>
      </w:pPr>
      <w:r>
        <w:rPr>
          <w:rFonts w:ascii="Times New Roman" w:cs="Times New Roman" w:eastAsia="Times New Roman" w:hAnsi="Times New Roman"/>
          <w:b/>
          <w:bCs/>
          <w:i w:val="false"/>
          <w:iCs w:val="false"/>
          <w:color w:val="000000"/>
          <w:sz w:val="24"/>
          <w:szCs w:val="24"/>
        </w:rPr>
        <w:t xml:space="preserve">IV. KURUMSAL KABİLİYET VE KAPASİTENİN DEĞERLENDİRİLMESİ</w:t>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4680"/>
        <w:gridCol w:w="4680"/>
      </w:tblGrid>
      <w:tr>
        <w:tc>
          <w:tcPr>
            <w:tcW w:type="dxa" w:w="9360"/>
            <w:gridSpan w:val="2"/>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İç Çevre</w:t>
            </w:r>
          </w:p>
        </w:tc>
      </w:tr>
      <w:tr>
        <w:tc>
          <w:tcPr>
            <w:tcW w:type="dxa" w:w="46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Güçlü Yönler</w:t>
            </w:r>
          </w:p>
        </w:tc>
        <w:tc>
          <w:tcPr>
            <w:tcW w:type="dxa" w:w="46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Zayıf Yönler</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Eğitim programının uygulama ağırlıklı yapısı ve klinik beceri kazandırmaya odaklı ders içerikleri olması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Akademik kadrodaki öğretim elemanı sayısının azlığı</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Klinik uygulamalar için kurumlarla sürdürülebilir iş birliği geliştirilmesi</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Ulusal ve uluslararası düzeyde akademik faaliyet sayısı</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Ölçme-değerlendirme süreçlerinde standardizasyon ve ders/uygulama çıktılarının izlenmesine yönelik iyileştirme yaklaşımı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Laboratuvar altyapısının (ekipman çeşitliliği) güncel ihtiyaçlara göre güçlendirilmesi gereği</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Araştırma, yayın, proje ile diğer bilimsel ve akademik faaliyetlerin desteklenmesi konusunda gerekli altyapıya sahip olması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Öğrencilerin bilimsel etkinliklere katılım motivasyonunun az olması</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Ders programlarının sürekli olarak güncellenmesi</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Üniversitenin ulusal ve uluslararası ölçekte tanınırlık seviyesi</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Paydaşlarla etkin ve verimli bir iletişim içinde olması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Sayısal ve niteliksel sürekli gelişim içinde olan güçlü bir akademik kadronun varlığı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Kurucu Vakfın Üniversite faaliyetlerine yakın ilgisi ve sürekli desteği</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Kalite süreçlerine (öz değerlendirme, geri bildirim, iyileştirme döngüsü) uyum ve bölüm bazlı raporlama kültürünün gelişmesi</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HEPDAK akreditasyon sürecine yönelik öz değerlendirme raporu ve kanıt dosyalarının tamamlanmış olması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bl>
    <w:p>
      <w:r>
        <w:rPr>
          <w:rFonts w:ascii="Times New Roman" w:cs="Times New Roman" w:eastAsia="Times New Roman" w:hAnsi="Times New Roman"/>
          <w:b w:val="false"/>
          <w:bCs w:val="false"/>
          <w:i w:val="false"/>
          <w:iCs w:val="false"/>
          <w:color w:val="000000"/>
          <w:sz w:val="24"/>
          <w:szCs w:val="24"/>
        </w:rPr>
        <w:t xml:space="preserve"/>
      </w:r>
    </w:p>
    <w:tbl>
      <w:tblPr>
        <w:tblW w:type="dxa" w:w="9360"/>
        <w:tblBorders>
          <w:top w:val="single" w:color="000000" w:sz="4"/>
          <w:left w:val="single" w:color="000000" w:sz="4"/>
          <w:bottom w:val="single" w:color="000000" w:sz="4"/>
          <w:right w:val="single" w:color="000000" w:sz="4"/>
          <w:insideH w:val="single" w:color="000000" w:sz="4"/>
          <w:insideV w:val="single" w:color="000000" w:sz="4"/>
        </w:tblBorders>
      </w:tblPr>
      <w:tblGrid>
        <w:gridCol w:w="4680"/>
        <w:gridCol w:w="4680"/>
      </w:tblGrid>
      <w:tr>
        <w:tc>
          <w:tcPr>
            <w:tcW w:type="dxa" w:w="9360"/>
            <w:gridSpan w:val="2"/>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Dış Çevre</w:t>
            </w:r>
          </w:p>
        </w:tc>
      </w:tr>
      <w:tr>
        <w:tc>
          <w:tcPr>
            <w:tcW w:type="dxa" w:w="46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Fırsatlar</w:t>
            </w:r>
          </w:p>
        </w:tc>
        <w:tc>
          <w:tcPr>
            <w:tcW w:type="dxa" w:w="4680"/>
            <w:gridSpan w:val="1"/>
            <w:shd w:fill="D9D9D9" w:color="auto" w:val="clear"/>
            <w:tcMar>
              <w:top w:type="dxa" w:w="40"/>
              <w:left w:type="dxa" w:w="80"/>
              <w:bottom w:type="dxa" w:w="40"/>
              <w:right w:type="dxa" w:w="80"/>
            </w:tcMar>
            <w:vAlign w:val="center"/>
          </w:tcPr>
          <w:p>
            <w:pPr>
              <w:spacing w:after="0" w:line="276"/>
              <w:jc w:val="center"/>
            </w:pPr>
            <w:r>
              <w:rPr>
                <w:rFonts w:ascii="Times New Roman" w:cs="Times New Roman" w:eastAsia="Times New Roman" w:hAnsi="Times New Roman"/>
                <w:b/>
                <w:bCs/>
                <w:i w:val="false"/>
                <w:iCs w:val="false"/>
                <w:color w:val="000000"/>
                <w:sz w:val="22"/>
                <w:szCs w:val="22"/>
              </w:rPr>
              <w:t xml:space="preserve">Tehditler</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Sağlık hizmetlerinde nitelikli hemşire ihtiyacının sürmesi ve bakım kalitesi odaklı insan kaynağı talebinin artması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Klinik uygulama alanlarında kontenjan artışı ve rekabet nedeniyle uygulama sürekliliğinin etkilenmesi</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İlimizin Doğu Akdeniz'in lider bir kenti olması nedeni ile çekici olması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Öğrenci motivasyonu ve mesleğe yönelik algıda dalgalanma; tükenmişlik ve uyum sorunlarının artması</w:t>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Vakıf üniversitelerine olan talebin artarak devam etmesi</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Bölgedeki başta sağlık sektörü olmak üzere, tüm sektör ve kuruluşların Fakülte ile işbirliğine açık olması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r>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Bölgedeki kamu/özel sağlık kurumlarıyla eğitim, uygulama ve araştırma iş birliklerini genişletme imkânı</w:t>
            </w:r>
          </w:p>
        </w:tc>
        <w:tc>
          <w:tcPr>
            <w:tcW w:type="dxa" w:w="4680"/>
            <w:gridSpan w:val="1"/>
            <w:tcMar>
              <w:top w:type="dxa" w:w="40"/>
              <w:left w:type="dxa" w:w="80"/>
              <w:bottom w:type="dxa" w:w="40"/>
              <w:right w:type="dxa" w:w="80"/>
            </w:tcMar>
            <w:vAlign w:val="center"/>
          </w:tcPr>
          <w:p>
            <w:pPr>
              <w:spacing w:after="0" w:line="276"/>
              <w:jc w:val="left"/>
            </w:pPr>
            <w:r>
              <w:rPr>
                <w:rFonts w:ascii="Times New Roman" w:cs="Times New Roman" w:eastAsia="Times New Roman" w:hAnsi="Times New Roman"/>
                <w:b w:val="false"/>
                <w:bCs w:val="false"/>
                <w:i w:val="false"/>
                <w:iCs w:val="false"/>
                <w:color w:val="000000"/>
                <w:sz w:val="22"/>
                <w:szCs w:val="22"/>
              </w:rPr>
              <w:t xml:space="preserve"/>
            </w:r>
          </w:p>
        </w:tc>
      </w:tr>
    </w:tbl>
    <w:p>
      <w:r>
        <w:br w:type="page"/>
      </w:r>
    </w:p>
    <w:p>
      <w:pPr>
        <w:spacing w:after="120" w:before="240"/>
        <w:jc w:val="left"/>
      </w:pPr>
      <w:r>
        <w:rPr>
          <w:rFonts w:ascii="Times New Roman" w:cs="Times New Roman" w:eastAsia="Times New Roman" w:hAnsi="Times New Roman"/>
          <w:b/>
          <w:bCs/>
          <w:i w:val="false"/>
          <w:iCs w:val="false"/>
          <w:color w:val="000000"/>
          <w:sz w:val="26"/>
          <w:szCs w:val="26"/>
        </w:rPr>
        <w:t xml:space="preserve">V. ÖNERİLER VE TEDBİRLER</w:t>
      </w:r>
    </w:p>
    <w:p>
      <w:pPr>
        <w:spacing w:after="120" w:before="240"/>
        <w:jc w:val="left"/>
      </w:pPr>
      <w:r>
        <w:rPr>
          <w:rFonts w:ascii="Times New Roman" w:cs="Times New Roman" w:eastAsia="Times New Roman" w:hAnsi="Times New Roman"/>
          <w:b/>
          <w:bCs/>
          <w:i w:val="false"/>
          <w:iCs w:val="false"/>
          <w:color w:val="000000"/>
          <w:sz w:val="22"/>
          <w:szCs w:val="22"/>
        </w:rPr>
        <w:t xml:space="preserve">1. Kalite Güvence Sistemleri</w:t>
      </w:r>
    </w:p>
    <w:p>
      <w:pPr>
        <w:spacing w:after="40" w:before="0" w:line="300"/>
        <w:jc w:val="both"/>
      </w:pPr>
      <w:r>
        <w:rPr>
          <w:rFonts w:ascii="Times New Roman" w:cs="Times New Roman" w:eastAsia="Times New Roman" w:hAnsi="Times New Roman"/>
          <w:b/>
          <w:bCs/>
          <w:i w:val="false"/>
          <w:iCs w:val="false"/>
          <w:color w:val="000000"/>
          <w:sz w:val="24"/>
          <w:szCs w:val="24"/>
        </w:rPr>
        <w:t xml:space="preserve">Güçlü Yönlerimiz;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Bölümümüzde kurulmuş bir Kalite koordinatörlüğünün ve Kalite ekibinin olması,</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Kurumun tüm süreçlerini kapsayacak şekilde, stratejik planla uyumlu tanımlı ve ilan edilmiş bir Kalite Politikası bulunması; fakülte web sayfasında ilan edilmesi,</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Bölümümüz stratejik planla uyumlu performans göstergelerinin belirlenmesi; gelişen amaç ve ihtiyaçlar doğrultusunda güncellenmesi ve izlenmesi,</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HEPDAK akreditasyon sürecine yönelik öz değerlendirme raporu, kanıt dosyaları ve PUKÖ döngüsü çalışmalarının tamamlanmış olması.</w:t>
      </w:r>
    </w:p>
    <w:p>
      <w:pPr>
        <w:spacing w:after="40" w:before="0" w:line="300"/>
        <w:jc w:val="both"/>
      </w:pPr>
      <w:r>
        <w:rPr>
          <w:rFonts w:ascii="Times New Roman" w:cs="Times New Roman" w:eastAsia="Times New Roman" w:hAnsi="Times New Roman"/>
          <w:b/>
          <w:bCs/>
          <w:i w:val="false"/>
          <w:iCs w:val="false"/>
          <w:color w:val="000000"/>
          <w:sz w:val="24"/>
          <w:szCs w:val="24"/>
        </w:rPr>
        <w:t xml:space="preserve">İyileştirmeye Açık Yönümüz;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Öğrencilerin ve diğer paydaşların ihtiyaç ve beklentilerinin doğru bir şekilde tespit edilmesi,</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Sunulan hizmetlerde iç ve dış paydaş memnuniyetini arttıracak faaliyetlerin yapılması,</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Akreditasyon çalışmalarının sürdürülerek programın akredite edilmesi.</w:t>
      </w:r>
    </w:p>
    <w:p>
      <w:pPr>
        <w:spacing w:after="120" w:before="240"/>
        <w:jc w:val="left"/>
      </w:pPr>
      <w:r>
        <w:rPr>
          <w:rFonts w:ascii="Times New Roman" w:cs="Times New Roman" w:eastAsia="Times New Roman" w:hAnsi="Times New Roman"/>
          <w:b/>
          <w:bCs/>
          <w:i w:val="false"/>
          <w:iCs w:val="false"/>
          <w:color w:val="000000"/>
          <w:sz w:val="22"/>
          <w:szCs w:val="22"/>
        </w:rPr>
        <w:t xml:space="preserve">2. Eğitim ve Öğretim</w:t>
      </w:r>
    </w:p>
    <w:p>
      <w:pPr>
        <w:spacing w:after="40" w:before="0" w:line="300"/>
        <w:jc w:val="both"/>
      </w:pPr>
      <w:r>
        <w:rPr>
          <w:rFonts w:ascii="Times New Roman" w:cs="Times New Roman" w:eastAsia="Times New Roman" w:hAnsi="Times New Roman"/>
          <w:b/>
          <w:bCs/>
          <w:i w:val="false"/>
          <w:iCs w:val="false"/>
          <w:color w:val="000000"/>
          <w:sz w:val="24"/>
          <w:szCs w:val="24"/>
        </w:rPr>
        <w:t xml:space="preserve">Güçlü yönlerimiz;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Güçlü, dinamik, özverili çalışan ve bilimsel gelişime önem veren bir akademik kadronun olması</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Güncel lisans müfredatının olması</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Öğrenci merkezli öğrenme yaklaşımının benimsenmesi</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Teorik ve uygulama yönünden güçlü ve kaliteli eğitim</w:t>
      </w:r>
    </w:p>
    <w:p>
      <w:pPr>
        <w:spacing w:after="40" w:before="0" w:line="300"/>
        <w:jc w:val="both"/>
      </w:pPr>
      <w:r>
        <w:rPr>
          <w:rFonts w:ascii="Times New Roman" w:cs="Times New Roman" w:eastAsia="Times New Roman" w:hAnsi="Times New Roman"/>
          <w:b/>
          <w:bCs/>
          <w:i w:val="false"/>
          <w:iCs w:val="false"/>
          <w:color w:val="000000"/>
          <w:sz w:val="24"/>
          <w:szCs w:val="24"/>
        </w:rPr>
        <w:t xml:space="preserve">İyileştirmeye açık yönümüz;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Lisans eğitim müfredatının akreditasyon çalışmalarının sürdürülmesi</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Lisansüstü eğitime başlanılması</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Fiziksel mekan kısıtlılığı ve teknik yetersizlikler ile ilgili sorunlar</w:t>
      </w:r>
    </w:p>
    <w:p>
      <w:pPr>
        <w:spacing w:after="120" w:before="240"/>
        <w:jc w:val="left"/>
      </w:pPr>
      <w:r>
        <w:rPr>
          <w:rFonts w:ascii="Times New Roman" w:cs="Times New Roman" w:eastAsia="Times New Roman" w:hAnsi="Times New Roman"/>
          <w:b/>
          <w:bCs/>
          <w:i w:val="false"/>
          <w:iCs w:val="false"/>
          <w:color w:val="000000"/>
          <w:sz w:val="22"/>
          <w:szCs w:val="22"/>
        </w:rPr>
        <w:t xml:space="preserve">3. Araştırma ve Geliştirme</w:t>
      </w:r>
    </w:p>
    <w:p>
      <w:pPr>
        <w:spacing w:after="40" w:before="0" w:line="300"/>
        <w:jc w:val="both"/>
      </w:pPr>
      <w:r>
        <w:rPr>
          <w:rFonts w:ascii="Times New Roman" w:cs="Times New Roman" w:eastAsia="Times New Roman" w:hAnsi="Times New Roman"/>
          <w:b/>
          <w:bCs/>
          <w:i w:val="false"/>
          <w:iCs w:val="false"/>
          <w:color w:val="000000"/>
          <w:sz w:val="24"/>
          <w:szCs w:val="24"/>
        </w:rPr>
        <w:t xml:space="preserve">Güçlü yönlerimiz;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Araştırma bilgisi ve deneyimi güçlü akademik kadro</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Ulusal ve uluslararası düzeyde kaliteli yayınlar</w:t>
      </w:r>
    </w:p>
    <w:p>
      <w:pPr>
        <w:spacing w:after="40" w:before="0" w:line="300"/>
        <w:jc w:val="both"/>
      </w:pPr>
      <w:r>
        <w:rPr>
          <w:rFonts w:ascii="Times New Roman" w:cs="Times New Roman" w:eastAsia="Times New Roman" w:hAnsi="Times New Roman"/>
          <w:b/>
          <w:bCs/>
          <w:i w:val="false"/>
          <w:iCs w:val="false"/>
          <w:color w:val="000000"/>
          <w:sz w:val="24"/>
          <w:szCs w:val="24"/>
        </w:rPr>
        <w:t xml:space="preserve">İyileştirmeye açık yönümüz;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Ulusal ve uluslararası destekli araştırma projelerinin arttırılması</w:t>
      </w:r>
    </w:p>
    <w:p>
      <w:pPr>
        <w:spacing w:after="120" w:before="240"/>
        <w:jc w:val="left"/>
      </w:pPr>
      <w:r>
        <w:rPr>
          <w:rFonts w:ascii="Times New Roman" w:cs="Times New Roman" w:eastAsia="Times New Roman" w:hAnsi="Times New Roman"/>
          <w:b/>
          <w:bCs/>
          <w:i w:val="false"/>
          <w:iCs w:val="false"/>
          <w:color w:val="000000"/>
          <w:sz w:val="22"/>
          <w:szCs w:val="22"/>
        </w:rPr>
        <w:t xml:space="preserve">4. Toplumsal Katkı</w:t>
      </w:r>
    </w:p>
    <w:p>
      <w:pPr>
        <w:spacing w:after="40" w:before="0" w:line="300"/>
        <w:jc w:val="both"/>
      </w:pPr>
      <w:r>
        <w:rPr>
          <w:rFonts w:ascii="Times New Roman" w:cs="Times New Roman" w:eastAsia="Times New Roman" w:hAnsi="Times New Roman"/>
          <w:b/>
          <w:bCs/>
          <w:i w:val="false"/>
          <w:iCs w:val="false"/>
          <w:color w:val="000000"/>
          <w:sz w:val="24"/>
          <w:szCs w:val="24"/>
        </w:rPr>
        <w:t xml:space="preserve">Güçlü yönlerimiz;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Kamu kurum ve kuruluşlarıyla güçlü işbirlikleri</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Yaşam boyu eğitim faaliyetleri ve farkındalık çalışmaları</w:t>
      </w:r>
    </w:p>
    <w:p>
      <w:pPr>
        <w:spacing w:after="40" w:before="0" w:line="300"/>
        <w:jc w:val="both"/>
      </w:pPr>
      <w:r>
        <w:rPr>
          <w:rFonts w:ascii="Times New Roman" w:cs="Times New Roman" w:eastAsia="Times New Roman" w:hAnsi="Times New Roman"/>
          <w:b/>
          <w:bCs/>
          <w:i w:val="false"/>
          <w:iCs w:val="false"/>
          <w:color w:val="000000"/>
          <w:sz w:val="24"/>
          <w:szCs w:val="24"/>
        </w:rPr>
        <w:t xml:space="preserve">İyileştirmeye açık yönümüz;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Toplum sağlığının yükseltilmesine yönelik ulusal ve uluslararası destekli projelerin gerçekleştirilmesi</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Toplum sağlığının yönetiminde daha güçlü bir ses olma gereksinimi</w:t>
      </w:r>
    </w:p>
    <w:p>
      <w:pPr>
        <w:spacing w:after="120" w:before="240"/>
        <w:jc w:val="left"/>
      </w:pPr>
      <w:r>
        <w:rPr>
          <w:rFonts w:ascii="Times New Roman" w:cs="Times New Roman" w:eastAsia="Times New Roman" w:hAnsi="Times New Roman"/>
          <w:b/>
          <w:bCs/>
          <w:i w:val="false"/>
          <w:iCs w:val="false"/>
          <w:color w:val="000000"/>
          <w:sz w:val="22"/>
          <w:szCs w:val="22"/>
        </w:rPr>
        <w:t xml:space="preserve">5. Yönetim Sistemi</w:t>
      </w:r>
    </w:p>
    <w:p>
      <w:pPr>
        <w:spacing w:after="40" w:before="0" w:line="300"/>
        <w:jc w:val="both"/>
      </w:pPr>
      <w:r>
        <w:rPr>
          <w:rFonts w:ascii="Times New Roman" w:cs="Times New Roman" w:eastAsia="Times New Roman" w:hAnsi="Times New Roman"/>
          <w:b/>
          <w:bCs/>
          <w:i w:val="false"/>
          <w:iCs w:val="false"/>
          <w:color w:val="000000"/>
          <w:sz w:val="24"/>
          <w:szCs w:val="24"/>
        </w:rPr>
        <w:t xml:space="preserve">Güçlü yönlerimiz;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Yasa, yönetmelik ve yönergelerle tanımlı süreçlerin olması</w:t>
      </w:r>
    </w:p>
    <w:p>
      <w:pPr>
        <w:spacing w:after="40" w:before="0" w:line="300"/>
        <w:jc w:val="both"/>
      </w:pPr>
      <w:r>
        <w:rPr>
          <w:rFonts w:ascii="Times New Roman" w:cs="Times New Roman" w:eastAsia="Times New Roman" w:hAnsi="Times New Roman"/>
          <w:b/>
          <w:bCs/>
          <w:i w:val="false"/>
          <w:iCs w:val="false"/>
          <w:color w:val="000000"/>
          <w:sz w:val="24"/>
          <w:szCs w:val="24"/>
        </w:rPr>
        <w:t xml:space="preserve">İyileştirmeye açık yönümüz;</w:t>
      </w:r>
    </w:p>
    <w:p>
      <w:pPr>
        <w:pStyle w:val="ListParagraph"/>
        <w:numPr>
          <w:ilvl w:val="0"/>
          <w:numId w:val="2"/>
        </w:numPr>
        <w:spacing w:after="80" w:line="300"/>
        <w:jc w:val="both"/>
      </w:pPr>
      <w:r>
        <w:rPr>
          <w:rFonts w:ascii="Times New Roman" w:cs="Times New Roman" w:eastAsia="Times New Roman" w:hAnsi="Times New Roman"/>
          <w:b w:val="false"/>
          <w:bCs w:val="false"/>
          <w:i w:val="false"/>
          <w:iCs w:val="false"/>
          <w:color w:val="000000"/>
          <w:sz w:val="24"/>
          <w:szCs w:val="24"/>
        </w:rPr>
        <w:t xml:space="preserve">İç ve dış paydaşlarla güçlü işbirliklerinin kurulacağı platformlar</w:t>
      </w:r>
    </w:p>
    <w:p>
      <w:r>
        <w:rPr>
          <w:rFonts w:ascii="Times New Roman" w:cs="Times New Roman" w:eastAsia="Times New Roman" w:hAnsi="Times New Roman"/>
          <w:b w:val="false"/>
          <w:bCs w:val="false"/>
          <w:i w:val="false"/>
          <w:iCs w:val="false"/>
          <w:color w:val="000000"/>
          <w:sz w:val="24"/>
          <w:szCs w:val="24"/>
        </w:rPr>
        <w:t xml:space="preserve"/>
      </w:r>
    </w:p>
    <w:p>
      <w:pPr>
        <w:spacing w:after="120" w:before="240"/>
        <w:jc w:val="left"/>
      </w:pPr>
      <w:r>
        <w:rPr>
          <w:rFonts w:ascii="Times New Roman" w:cs="Times New Roman" w:eastAsia="Times New Roman" w:hAnsi="Times New Roman"/>
          <w:b/>
          <w:bCs/>
          <w:i w:val="false"/>
          <w:iCs w:val="false"/>
          <w:color w:val="000000"/>
          <w:sz w:val="22"/>
          <w:szCs w:val="22"/>
        </w:rPr>
        <w:t xml:space="preserve">İÇ KONTROL GÜVENCE BEYANI</w:t>
      </w:r>
    </w:p>
    <w:p>
      <w:pPr>
        <w:spacing w:after="120" w:before="0" w:line="300"/>
        <w:jc w:val="both"/>
      </w:pPr>
      <w:r>
        <w:rPr>
          <w:rFonts w:ascii="Times New Roman" w:cs="Times New Roman" w:eastAsia="Times New Roman" w:hAnsi="Times New Roman"/>
          <w:b w:val="false"/>
          <w:bCs w:val="false"/>
          <w:i w:val="false"/>
          <w:iCs w:val="false"/>
          <w:color w:val="000000"/>
          <w:sz w:val="24"/>
          <w:szCs w:val="24"/>
        </w:rPr>
        <w:t xml:space="preserve">Bu raporda yer alan bilgilerin güvenilir, tam ve doğru olduğunu beyan ederim. Burada raporlanmayan, idarenin menfaatlerine zarar veren herhangi bir husus hakkında bilgim olmadığını beyan ederim.</w:t>
      </w:r>
    </w:p>
    <w:p>
      <w:pPr>
        <w:spacing w:after="0" w:before="200" w:line="300"/>
        <w:jc w:val="right"/>
      </w:pPr>
      <w:r>
        <w:rPr>
          <w:rFonts w:ascii="Times New Roman" w:cs="Times New Roman" w:eastAsia="Times New Roman" w:hAnsi="Times New Roman"/>
          <w:b/>
          <w:bCs/>
          <w:i w:val="false"/>
          <w:iCs w:val="false"/>
          <w:color w:val="000000"/>
          <w:sz w:val="24"/>
          <w:szCs w:val="24"/>
        </w:rPr>
        <w:t xml:space="preserve">Prof. Dr. FÜGEN ÖZCANARSLAN</w:t>
      </w:r>
    </w:p>
    <w:p>
      <w:pPr>
        <w:spacing w:after="120" w:before="0" w:line="300"/>
        <w:jc w:val="right"/>
      </w:pPr>
      <w:r>
        <w:rPr>
          <w:rFonts w:ascii="Times New Roman" w:cs="Times New Roman" w:eastAsia="Times New Roman" w:hAnsi="Times New Roman"/>
          <w:b/>
          <w:bCs/>
          <w:i w:val="false"/>
          <w:iCs w:val="false"/>
          <w:color w:val="000000"/>
          <w:sz w:val="24"/>
          <w:szCs w:val="24"/>
        </w:rPr>
        <w:t xml:space="preserve">Hemşirelik Bölüm Başkanı</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Times New Roman" w:cs="Times New Roman" w:eastAsia="Times New Roman" w:hAnsi="Times New Roman"/>
      </w:rPr>
    </w:lvl>
  </w:abstractNum>
  <w:abstractNum w:abstractNumId="3" w15:restartNumberingAfterBreak="0">
    <w:multiLevelType w:val="hybridMultilevel"/>
    <w:lvl w:ilvl="0" w15:tentative="1">
      <w:start w:val="1"/>
      <w:numFmt w:val="decimal"/>
      <w:lvlText w:val="%1."/>
      <w:lvlJc w:val="left"/>
      <w:pPr>
        <w:ind w:left="420" w:hanging="300"/>
      </w:pPr>
      <w:rPr>
        <w:rFonts w:ascii="Times New Roman" w:cs="Times New Roman" w:eastAsia="Times New Roman" w:hAnsi="Times New Roman"/>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31d35a2402a5c3298fa9085198753077a3387e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Faaliyet Raporu 2026</dc:title>
  <dc:creator>Toros Üniversitesi Hemşirelik Bölümü</dc:creator>
  <cp:lastModifiedBy>Un-named</cp:lastModifiedBy>
  <cp:revision>1</cp:revision>
  <dcterms:created xsi:type="dcterms:W3CDTF">2026-07-17T09:49:27.900Z</dcterms:created>
  <dcterms:modified xsi:type="dcterms:W3CDTF">2026-07-17T09:49:27.901Z</dcterms:modified>
</cp:coreProperties>
</file>

<file path=docProps/custom.xml><?xml version="1.0" encoding="utf-8"?>
<Properties xmlns="http://schemas.openxmlformats.org/officeDocument/2006/custom-properties" xmlns:vt="http://schemas.openxmlformats.org/officeDocument/2006/docPropsVTypes"/>
</file>