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Seminer Değerlendirme Anketleri Sonuç Raporu</w:t>
      </w:r>
    </w:p>
    <w:p>
      <w:r>
        <w:t>Bu rapor, çeşitli akademik seminerler kapsamında katılımcılardan elde edilen değerlendirme anket sonuçlarının genel analizini içermektedir. Katılımcı görüşleri doğrultusunda seminerlerin içerik yeterliliği, anlatım kalitesi, akademik katkısı ve organizasyon süreçleri değerlendirilmiştir.</w:t>
      </w:r>
    </w:p>
    <w:p>
      <w:pPr>
        <w:pStyle w:val="Heading2"/>
      </w:pPr>
      <w:r>
        <w:t xml:space="preserve">11 Mayıs - Merkezi Laboratuvarlar Özelinde Alt Yapı Araştırmaların FON -Kaynak Yönetimi  Semineri Değerlendirme Anketi </w:t>
      </w:r>
    </w:p>
    <w:p>
      <w:r>
        <w:t>11 Mayıs - Merkezi Laboratuvarlar Özelinde Alt Yapı Araştırmaların FON -Kaynak Yönetimi  Semineri Değerlendirme Anketi  seminerine toplam 8 katılımcı anket aracılığıyla geri bildirim sağlamıştır. Katılımcı değerlendirmelerine göre seminerin genel memnuniyet ortalaması 4.71/5 olarak belirlenmiştir. Özellikle konuşmacının konu hakimiyeti, sunumun anlaşılabilirliği ve akademik katkı boyutlarında yüksek puanlar elde edilmiştir. Katılımcıların tamamı benzer akademik seminerlerin devam etmesini istediklerini belirtmiştir. Genel olarak seminerin akademik farkındalık oluşturduğu ve katılımcılar açısından faydalı bulunduğu sonucuna ulaşılmıştır.</w:t>
      </w:r>
    </w:p>
    <w:tbl>
      <w:tblPr>
        <w:tblStyle w:val="TableGrid"/>
        <w:tblW w:type="auto" w:w="0"/>
        <w:tblLook w:firstColumn="1" w:firstRow="1" w:lastColumn="0" w:lastRow="0" w:noHBand="0" w:noVBand="1" w:val="04A0"/>
      </w:tblPr>
      <w:tblGrid>
        <w:gridCol w:w="4320"/>
        <w:gridCol w:w="4320"/>
      </w:tblGrid>
      <w:tr>
        <w:tc>
          <w:tcPr>
            <w:tcW w:type="dxa" w:w="4320"/>
          </w:tcPr>
          <w:p>
            <w:r>
              <w:t>Değerlendirme Kriteri</w:t>
            </w:r>
          </w:p>
        </w:tc>
        <w:tc>
          <w:tcPr>
            <w:tcW w:type="dxa" w:w="4320"/>
          </w:tcPr>
          <w:p>
            <w:r>
              <w:t>Ortalama Puan</w:t>
            </w:r>
          </w:p>
        </w:tc>
      </w:tr>
      <w:tr>
        <w:tc>
          <w:tcPr>
            <w:tcW w:type="dxa" w:w="4320"/>
          </w:tcPr>
          <w:p>
            <w:r>
              <w:t>Seminerin genel kalitesini değerlendiriniz</w:t>
            </w:r>
          </w:p>
        </w:tc>
        <w:tc>
          <w:tcPr>
            <w:tcW w:type="dxa" w:w="4320"/>
          </w:tcPr>
          <w:p>
            <w:r>
              <w:t>4.88</w:t>
            </w:r>
          </w:p>
        </w:tc>
      </w:tr>
      <w:tr>
        <w:tc>
          <w:tcPr>
            <w:tcW w:type="dxa" w:w="4320"/>
          </w:tcPr>
          <w:p>
            <w:r>
              <w:t>Akademik etkiyi artırmaya yönelik içerik yeterliliği</w:t>
            </w:r>
          </w:p>
        </w:tc>
        <w:tc>
          <w:tcPr>
            <w:tcW w:type="dxa" w:w="4320"/>
          </w:tcPr>
          <w:p>
            <w:r>
              <w:t>4.75</w:t>
            </w:r>
          </w:p>
        </w:tc>
      </w:tr>
      <w:tr>
        <w:tc>
          <w:tcPr>
            <w:tcW w:type="dxa" w:w="4320"/>
          </w:tcPr>
          <w:p>
            <w:r>
              <w:t>AR-GE çalışmalarının yayınlara dönüştürülmesi konusundaki katkısı</w:t>
            </w:r>
          </w:p>
        </w:tc>
        <w:tc>
          <w:tcPr>
            <w:tcW w:type="dxa" w:w="4320"/>
          </w:tcPr>
          <w:p>
            <w:r>
              <w:t>4.38</w:t>
            </w:r>
          </w:p>
        </w:tc>
      </w:tr>
      <w:tr>
        <w:tc>
          <w:tcPr>
            <w:tcW w:type="dxa" w:w="4320"/>
          </w:tcPr>
          <w:p>
            <w:r>
              <w:t>Yayın süreçleri hakkında verilen bilgilerin faydalılığı</w:t>
            </w:r>
          </w:p>
        </w:tc>
        <w:tc>
          <w:tcPr>
            <w:tcW w:type="dxa" w:w="4320"/>
          </w:tcPr>
          <w:p>
            <w:r>
              <w:t>4.38</w:t>
            </w:r>
          </w:p>
        </w:tc>
      </w:tr>
      <w:tr>
        <w:tc>
          <w:tcPr>
            <w:tcW w:type="dxa" w:w="4320"/>
          </w:tcPr>
          <w:p>
            <w:r>
              <w:t>Konuşmacının konuya hakimiyeti ve anlatımı</w:t>
            </w:r>
          </w:p>
        </w:tc>
        <w:tc>
          <w:tcPr>
            <w:tcW w:type="dxa" w:w="4320"/>
          </w:tcPr>
          <w:p>
            <w:r>
              <w:t>5.0</w:t>
            </w:r>
          </w:p>
        </w:tc>
      </w:tr>
      <w:tr>
        <w:tc>
          <w:tcPr>
            <w:tcW w:type="dxa" w:w="4320"/>
          </w:tcPr>
          <w:p>
            <w:r>
              <w:t>Sunumun anlaşılabilirliği</w:t>
            </w:r>
          </w:p>
        </w:tc>
        <w:tc>
          <w:tcPr>
            <w:tcW w:type="dxa" w:w="4320"/>
          </w:tcPr>
          <w:p>
            <w:r>
              <w:t>5.0</w:t>
            </w:r>
          </w:p>
        </w:tc>
      </w:tr>
      <w:tr>
        <w:tc>
          <w:tcPr>
            <w:tcW w:type="dxa" w:w="4320"/>
          </w:tcPr>
          <w:p>
            <w:r>
              <w:t>Seminerin akademik gelişiminize katkısı</w:t>
            </w:r>
          </w:p>
        </w:tc>
        <w:tc>
          <w:tcPr>
            <w:tcW w:type="dxa" w:w="4320"/>
          </w:tcPr>
          <w:p>
            <w:r>
              <w:t>4.62</w:t>
            </w:r>
          </w:p>
        </w:tc>
      </w:tr>
    </w:tbl>
    <w:p/>
    <w:p>
      <w:pPr>
        <w:pStyle w:val="Heading2"/>
      </w:pPr>
      <w:r>
        <w:t xml:space="preserve">14 Mayıs - Proje Yönetimi Bütçeleme ve İdari Süreçler Mini Atölye </w:t>
      </w:r>
    </w:p>
    <w:p>
      <w:r>
        <w:t>14 Mayıs - Proje Yönetimi Bütçeleme ve İdari Süreçler Mini Atölye  seminerine toplam 6 katılımcı anket aracılığıyla geri bildirim sağlamıştır. Katılımcı değerlendirmelerine göre seminerin genel memnuniyet ortalaması 4.67/5 olarak belirlenmiştir. Özellikle konuşmacının konu hakimiyeti, sunumun anlaşılabilirliği ve akademik katkı boyutlarında yüksek puanlar elde edilmiştir. Katılımcıların tamamı benzer akademik seminerlerin devam etmesini istediklerini belirtmiştir. Genel olarak seminerin akademik farkındalık oluşturduğu ve katılımcılar açısından faydalı bulunduğu sonucuna ulaşılmıştır.</w:t>
      </w:r>
    </w:p>
    <w:tbl>
      <w:tblPr>
        <w:tblStyle w:val="TableGrid"/>
        <w:tblW w:type="auto" w:w="0"/>
        <w:tblLook w:firstColumn="1" w:firstRow="1" w:lastColumn="0" w:lastRow="0" w:noHBand="0" w:noVBand="1" w:val="04A0"/>
      </w:tblPr>
      <w:tblGrid>
        <w:gridCol w:w="4320"/>
        <w:gridCol w:w="4320"/>
      </w:tblGrid>
      <w:tr>
        <w:tc>
          <w:tcPr>
            <w:tcW w:type="dxa" w:w="4320"/>
          </w:tcPr>
          <w:p>
            <w:r>
              <w:t>Değerlendirme Kriteri</w:t>
            </w:r>
          </w:p>
        </w:tc>
        <w:tc>
          <w:tcPr>
            <w:tcW w:type="dxa" w:w="4320"/>
          </w:tcPr>
          <w:p>
            <w:r>
              <w:t>Ortalama Puan</w:t>
            </w:r>
          </w:p>
        </w:tc>
      </w:tr>
      <w:tr>
        <w:tc>
          <w:tcPr>
            <w:tcW w:type="dxa" w:w="4320"/>
          </w:tcPr>
          <w:p>
            <w:r>
              <w:t>Seminerin genel kalitesini değerlendiriniz</w:t>
            </w:r>
          </w:p>
        </w:tc>
        <w:tc>
          <w:tcPr>
            <w:tcW w:type="dxa" w:w="4320"/>
          </w:tcPr>
          <w:p>
            <w:r>
              <w:t>5.0</w:t>
            </w:r>
          </w:p>
        </w:tc>
      </w:tr>
      <w:tr>
        <w:tc>
          <w:tcPr>
            <w:tcW w:type="dxa" w:w="4320"/>
          </w:tcPr>
          <w:p>
            <w:r>
              <w:t>Akademik etkiyi artırmaya yönelik içerik yeterliliği</w:t>
            </w:r>
          </w:p>
        </w:tc>
        <w:tc>
          <w:tcPr>
            <w:tcW w:type="dxa" w:w="4320"/>
          </w:tcPr>
          <w:p>
            <w:r>
              <w:t>4.33</w:t>
            </w:r>
          </w:p>
        </w:tc>
      </w:tr>
      <w:tr>
        <w:tc>
          <w:tcPr>
            <w:tcW w:type="dxa" w:w="4320"/>
          </w:tcPr>
          <w:p>
            <w:r>
              <w:t>AR-GE çalışmalarının yayınlara dönüştürülmesi konusundaki katkısı</w:t>
            </w:r>
          </w:p>
        </w:tc>
        <w:tc>
          <w:tcPr>
            <w:tcW w:type="dxa" w:w="4320"/>
          </w:tcPr>
          <w:p>
            <w:r>
              <w:t>4.33</w:t>
            </w:r>
          </w:p>
        </w:tc>
      </w:tr>
      <w:tr>
        <w:tc>
          <w:tcPr>
            <w:tcW w:type="dxa" w:w="4320"/>
          </w:tcPr>
          <w:p>
            <w:r>
              <w:t>Yayın süreçleri hakkında verilen bilgilerin faydalılığı</w:t>
            </w:r>
          </w:p>
        </w:tc>
        <w:tc>
          <w:tcPr>
            <w:tcW w:type="dxa" w:w="4320"/>
          </w:tcPr>
          <w:p>
            <w:r>
              <w:t>4.33</w:t>
            </w:r>
          </w:p>
        </w:tc>
      </w:tr>
      <w:tr>
        <w:tc>
          <w:tcPr>
            <w:tcW w:type="dxa" w:w="4320"/>
          </w:tcPr>
          <w:p>
            <w:r>
              <w:t>Konuşmacının konuya hakimiyeti ve anlatımı</w:t>
            </w:r>
          </w:p>
        </w:tc>
        <w:tc>
          <w:tcPr>
            <w:tcW w:type="dxa" w:w="4320"/>
          </w:tcPr>
          <w:p>
            <w:r>
              <w:t>5.0</w:t>
            </w:r>
          </w:p>
        </w:tc>
      </w:tr>
      <w:tr>
        <w:tc>
          <w:tcPr>
            <w:tcW w:type="dxa" w:w="4320"/>
          </w:tcPr>
          <w:p>
            <w:r>
              <w:t>Sunumun anlaşılabilirliği</w:t>
            </w:r>
          </w:p>
        </w:tc>
        <w:tc>
          <w:tcPr>
            <w:tcW w:type="dxa" w:w="4320"/>
          </w:tcPr>
          <w:p>
            <w:r>
              <w:t>5.0</w:t>
            </w:r>
          </w:p>
        </w:tc>
      </w:tr>
      <w:tr>
        <w:tc>
          <w:tcPr>
            <w:tcW w:type="dxa" w:w="4320"/>
          </w:tcPr>
          <w:p>
            <w:r>
              <w:t>Seminerin akademik gelişiminize katkısı</w:t>
            </w:r>
          </w:p>
        </w:tc>
        <w:tc>
          <w:tcPr>
            <w:tcW w:type="dxa" w:w="4320"/>
          </w:tcPr>
          <w:p>
            <w:r>
              <w:t>4.67</w:t>
            </w:r>
          </w:p>
        </w:tc>
      </w:tr>
    </w:tbl>
    <w:p/>
    <w:p>
      <w:pPr>
        <w:pStyle w:val="Heading2"/>
      </w:pPr>
      <w:r>
        <w:t>15 Mayıs- Araştırmacı Kimliğinin İnşasında Deneyim, Süreç ve Stratejiler</w:t>
      </w:r>
    </w:p>
    <w:p>
      <w:r>
        <w:t>15 Mayıs- Araştırmacı Kimliğinin İnşasında Deneyim, Süreç ve Stratejiler seminerine toplam 7 katılımcı anket aracılığıyla geri bildirim sağlamıştır. Katılımcı değerlendirmelerine göre seminerin genel memnuniyet ortalaması 4.86/5 olarak belirlenmiştir. Özellikle konuşmacının konu hakimiyeti, sunumun anlaşılabilirliği ve akademik katkı boyutlarında yüksek puanlar elde edilmiştir. Katılımcıların tamamı benzer akademik seminerlerin devam etmesini istediklerini belirtmiştir. Genel olarak seminerin akademik farkındalık oluşturduğu ve katılımcılar açısından faydalı bulunduğu sonucuna ulaşılmıştır.</w:t>
      </w:r>
    </w:p>
    <w:tbl>
      <w:tblPr>
        <w:tblStyle w:val="TableGrid"/>
        <w:tblW w:type="auto" w:w="0"/>
        <w:tblLook w:firstColumn="1" w:firstRow="1" w:lastColumn="0" w:lastRow="0" w:noHBand="0" w:noVBand="1" w:val="04A0"/>
      </w:tblPr>
      <w:tblGrid>
        <w:gridCol w:w="4320"/>
        <w:gridCol w:w="4320"/>
      </w:tblGrid>
      <w:tr>
        <w:tc>
          <w:tcPr>
            <w:tcW w:type="dxa" w:w="4320"/>
          </w:tcPr>
          <w:p>
            <w:r>
              <w:t>Değerlendirme Kriteri</w:t>
            </w:r>
          </w:p>
        </w:tc>
        <w:tc>
          <w:tcPr>
            <w:tcW w:type="dxa" w:w="4320"/>
          </w:tcPr>
          <w:p>
            <w:r>
              <w:t>Ortalama Puan</w:t>
            </w:r>
          </w:p>
        </w:tc>
      </w:tr>
      <w:tr>
        <w:tc>
          <w:tcPr>
            <w:tcW w:type="dxa" w:w="4320"/>
          </w:tcPr>
          <w:p>
            <w:r>
              <w:t>Seminerin genel kalitesini değerlendiriniz</w:t>
            </w:r>
          </w:p>
        </w:tc>
        <w:tc>
          <w:tcPr>
            <w:tcW w:type="dxa" w:w="4320"/>
          </w:tcPr>
          <w:p>
            <w:r>
              <w:t>5.0</w:t>
            </w:r>
          </w:p>
        </w:tc>
      </w:tr>
      <w:tr>
        <w:tc>
          <w:tcPr>
            <w:tcW w:type="dxa" w:w="4320"/>
          </w:tcPr>
          <w:p>
            <w:r>
              <w:t>Akademik etkiyi artırmaya yönelik içerik yeterliliği</w:t>
            </w:r>
          </w:p>
        </w:tc>
        <w:tc>
          <w:tcPr>
            <w:tcW w:type="dxa" w:w="4320"/>
          </w:tcPr>
          <w:p>
            <w:r>
              <w:t>4.86</w:t>
            </w:r>
          </w:p>
        </w:tc>
      </w:tr>
      <w:tr>
        <w:tc>
          <w:tcPr>
            <w:tcW w:type="dxa" w:w="4320"/>
          </w:tcPr>
          <w:p>
            <w:r>
              <w:t>AR-GE çalışmalarının yayınlara dönüştürülmesi konusundaki katkısı</w:t>
            </w:r>
          </w:p>
        </w:tc>
        <w:tc>
          <w:tcPr>
            <w:tcW w:type="dxa" w:w="4320"/>
          </w:tcPr>
          <w:p>
            <w:r>
              <w:t>5.0</w:t>
            </w:r>
          </w:p>
        </w:tc>
      </w:tr>
      <w:tr>
        <w:tc>
          <w:tcPr>
            <w:tcW w:type="dxa" w:w="4320"/>
          </w:tcPr>
          <w:p>
            <w:r>
              <w:t>Yayın süreçleri hakkında verilen bilgilerin faydalılığı</w:t>
            </w:r>
          </w:p>
        </w:tc>
        <w:tc>
          <w:tcPr>
            <w:tcW w:type="dxa" w:w="4320"/>
          </w:tcPr>
          <w:p>
            <w:r>
              <w:t>4.86</w:t>
            </w:r>
          </w:p>
        </w:tc>
      </w:tr>
      <w:tr>
        <w:tc>
          <w:tcPr>
            <w:tcW w:type="dxa" w:w="4320"/>
          </w:tcPr>
          <w:p>
            <w:r>
              <w:t>Konuşmacının konuya hakimiyeti ve anlatımı</w:t>
            </w:r>
          </w:p>
        </w:tc>
        <w:tc>
          <w:tcPr>
            <w:tcW w:type="dxa" w:w="4320"/>
          </w:tcPr>
          <w:p>
            <w:r>
              <w:t>5.0</w:t>
            </w:r>
          </w:p>
        </w:tc>
      </w:tr>
      <w:tr>
        <w:tc>
          <w:tcPr>
            <w:tcW w:type="dxa" w:w="4320"/>
          </w:tcPr>
          <w:p>
            <w:r>
              <w:t>Sunumun anlaşılabilirliği</w:t>
            </w:r>
          </w:p>
        </w:tc>
        <w:tc>
          <w:tcPr>
            <w:tcW w:type="dxa" w:w="4320"/>
          </w:tcPr>
          <w:p>
            <w:r>
              <w:t>5.0</w:t>
            </w:r>
          </w:p>
        </w:tc>
      </w:tr>
      <w:tr>
        <w:tc>
          <w:tcPr>
            <w:tcW w:type="dxa" w:w="4320"/>
          </w:tcPr>
          <w:p>
            <w:r>
              <w:t>Seminerin akademik gelişiminize katkısı</w:t>
            </w:r>
          </w:p>
        </w:tc>
        <w:tc>
          <w:tcPr>
            <w:tcW w:type="dxa" w:w="4320"/>
          </w:tcPr>
          <w:p>
            <w:r>
              <w:t>4.29</w:t>
            </w:r>
          </w:p>
        </w:tc>
      </w:tr>
    </w:tbl>
    <w:p/>
    <w:p>
      <w:pPr>
        <w:pStyle w:val="Heading2"/>
      </w:pPr>
      <w:r>
        <w:t>20 Mayıs Üniversite–Sanayi İş Birliği &amp; Deneyimler Semineri Değerlendirme Anketi</w:t>
      </w:r>
    </w:p>
    <w:p>
      <w:r>
        <w:t>20 Mayıs Üniversite–Sanayi İş Birliği &amp; Deneyimler Semineri Değerlendirme Anketi seminerine toplam 6 katılımcı anket aracılığıyla geri bildirim sağlamıştır. Katılımcı değerlendirmelerine göre seminerin genel memnuniyet ortalaması 4.9/5 olarak belirlenmiştir. Özellikle konuşmacının konu hakimiyeti, sunumun anlaşılabilirliği ve akademik katkı boyutlarında yüksek puanlar elde edilmiştir. Katılımcıların tamamı benzer akademik seminerlerin devam etmesini istediklerini belirtmiştir. Genel olarak seminerin akademik farkındalık oluşturduğu ve katılımcılar açısından faydalı bulunduğu sonucuna ulaşılmıştır.</w:t>
      </w:r>
    </w:p>
    <w:tbl>
      <w:tblPr>
        <w:tblStyle w:val="TableGrid"/>
        <w:tblW w:type="auto" w:w="0"/>
        <w:tblLook w:firstColumn="1" w:firstRow="1" w:lastColumn="0" w:lastRow="0" w:noHBand="0" w:noVBand="1" w:val="04A0"/>
      </w:tblPr>
      <w:tblGrid>
        <w:gridCol w:w="4320"/>
        <w:gridCol w:w="4320"/>
      </w:tblGrid>
      <w:tr>
        <w:tc>
          <w:tcPr>
            <w:tcW w:type="dxa" w:w="4320"/>
          </w:tcPr>
          <w:p>
            <w:r>
              <w:t>Değerlendirme Kriteri</w:t>
            </w:r>
          </w:p>
        </w:tc>
        <w:tc>
          <w:tcPr>
            <w:tcW w:type="dxa" w:w="4320"/>
          </w:tcPr>
          <w:p>
            <w:r>
              <w:t>Ortalama Puan</w:t>
            </w:r>
          </w:p>
        </w:tc>
      </w:tr>
      <w:tr>
        <w:tc>
          <w:tcPr>
            <w:tcW w:type="dxa" w:w="4320"/>
          </w:tcPr>
          <w:p>
            <w:r>
              <w:t>Seminerin genel kalitesini değerlendiriniz</w:t>
            </w:r>
          </w:p>
        </w:tc>
        <w:tc>
          <w:tcPr>
            <w:tcW w:type="dxa" w:w="4320"/>
          </w:tcPr>
          <w:p>
            <w:r>
              <w:t>5.0</w:t>
            </w:r>
          </w:p>
        </w:tc>
      </w:tr>
      <w:tr>
        <w:tc>
          <w:tcPr>
            <w:tcW w:type="dxa" w:w="4320"/>
          </w:tcPr>
          <w:p>
            <w:r>
              <w:t>Akademik etkiyi artırmaya yönelik içerik yeterliliği</w:t>
            </w:r>
          </w:p>
        </w:tc>
        <w:tc>
          <w:tcPr>
            <w:tcW w:type="dxa" w:w="4320"/>
          </w:tcPr>
          <w:p>
            <w:r>
              <w:t>5.0</w:t>
            </w:r>
          </w:p>
        </w:tc>
      </w:tr>
      <w:tr>
        <w:tc>
          <w:tcPr>
            <w:tcW w:type="dxa" w:w="4320"/>
          </w:tcPr>
          <w:p>
            <w:r>
              <w:t>AR-GE çalışmalarının yayınlara dönüştürülmesi konusundaki katkısı</w:t>
            </w:r>
          </w:p>
        </w:tc>
        <w:tc>
          <w:tcPr>
            <w:tcW w:type="dxa" w:w="4320"/>
          </w:tcPr>
          <w:p>
            <w:r>
              <w:t>4.83</w:t>
            </w:r>
          </w:p>
        </w:tc>
      </w:tr>
      <w:tr>
        <w:tc>
          <w:tcPr>
            <w:tcW w:type="dxa" w:w="4320"/>
          </w:tcPr>
          <w:p>
            <w:r>
              <w:t>Yayın süreçleri hakkında verilen bilgilerin faydalılığı</w:t>
            </w:r>
          </w:p>
        </w:tc>
        <w:tc>
          <w:tcPr>
            <w:tcW w:type="dxa" w:w="4320"/>
          </w:tcPr>
          <w:p>
            <w:r>
              <w:t>4.83</w:t>
            </w:r>
          </w:p>
        </w:tc>
      </w:tr>
      <w:tr>
        <w:tc>
          <w:tcPr>
            <w:tcW w:type="dxa" w:w="4320"/>
          </w:tcPr>
          <w:p>
            <w:r>
              <w:t>Konuşmacının konuya hakimiyeti ve anlatımı</w:t>
            </w:r>
          </w:p>
        </w:tc>
        <w:tc>
          <w:tcPr>
            <w:tcW w:type="dxa" w:w="4320"/>
          </w:tcPr>
          <w:p>
            <w:r>
              <w:t>5.0</w:t>
            </w:r>
          </w:p>
        </w:tc>
      </w:tr>
      <w:tr>
        <w:tc>
          <w:tcPr>
            <w:tcW w:type="dxa" w:w="4320"/>
          </w:tcPr>
          <w:p>
            <w:r>
              <w:t>Sunumun anlaşılabilirliği</w:t>
            </w:r>
          </w:p>
        </w:tc>
        <w:tc>
          <w:tcPr>
            <w:tcW w:type="dxa" w:w="4320"/>
          </w:tcPr>
          <w:p>
            <w:r>
              <w:t>4.83</w:t>
            </w:r>
          </w:p>
        </w:tc>
      </w:tr>
      <w:tr>
        <w:tc>
          <w:tcPr>
            <w:tcW w:type="dxa" w:w="4320"/>
          </w:tcPr>
          <w:p>
            <w:r>
              <w:t>Seminerin akademik gelişiminize katkısı</w:t>
            </w:r>
          </w:p>
        </w:tc>
        <w:tc>
          <w:tcPr>
            <w:tcW w:type="dxa" w:w="4320"/>
          </w:tcPr>
          <w:p>
            <w:r>
              <w:t>4.83</w:t>
            </w:r>
          </w:p>
        </w:tc>
      </w:tr>
    </w:tbl>
    <w:p/>
    <w:p>
      <w:pPr>
        <w:pStyle w:val="Heading2"/>
      </w:pPr>
      <w:r>
        <w:t>8 Mayıs- COST Aksiyonları ve Ağ Kurma Atölyesi Semineri Değerlendirme Anketi</w:t>
      </w:r>
    </w:p>
    <w:p>
      <w:r>
        <w:t>8 Mayıs- COST Aksiyonları ve Ağ Kurma Atölyesi Semineri Değerlendirme Anketi seminerine toplam 8 katılımcı anket aracılığıyla geri bildirim sağlamıştır. Katılımcı değerlendirmelerine göre seminerin genel memnuniyet ortalaması 4.91/5 olarak belirlenmiştir. Özellikle konuşmacının konu hakimiyeti, sunumun anlaşılabilirliği ve akademik katkı boyutlarında yüksek puanlar elde edilmiştir. Katılımcıların tamamı benzer akademik seminerlerin devam etmesini istediklerini belirtmiştir. Genel olarak seminerin akademik farkındalık oluşturduğu ve katılımcılar açısından faydalı bulunduğu sonucuna ulaşılmıştır.</w:t>
      </w:r>
    </w:p>
    <w:tbl>
      <w:tblPr>
        <w:tblStyle w:val="TableGrid"/>
        <w:tblW w:type="auto" w:w="0"/>
        <w:tblLook w:firstColumn="1" w:firstRow="1" w:lastColumn="0" w:lastRow="0" w:noHBand="0" w:noVBand="1" w:val="04A0"/>
      </w:tblPr>
      <w:tblGrid>
        <w:gridCol w:w="4320"/>
        <w:gridCol w:w="4320"/>
      </w:tblGrid>
      <w:tr>
        <w:tc>
          <w:tcPr>
            <w:tcW w:type="dxa" w:w="4320"/>
          </w:tcPr>
          <w:p>
            <w:r>
              <w:t>Değerlendirme Kriteri</w:t>
            </w:r>
          </w:p>
        </w:tc>
        <w:tc>
          <w:tcPr>
            <w:tcW w:type="dxa" w:w="4320"/>
          </w:tcPr>
          <w:p>
            <w:r>
              <w:t>Ortalama Puan</w:t>
            </w:r>
          </w:p>
        </w:tc>
      </w:tr>
      <w:tr>
        <w:tc>
          <w:tcPr>
            <w:tcW w:type="dxa" w:w="4320"/>
          </w:tcPr>
          <w:p>
            <w:r>
              <w:t>Seminerin genel kalitesini değerlendiriniz</w:t>
            </w:r>
          </w:p>
        </w:tc>
        <w:tc>
          <w:tcPr>
            <w:tcW w:type="dxa" w:w="4320"/>
          </w:tcPr>
          <w:p>
            <w:r>
              <w:t>4.88</w:t>
            </w:r>
          </w:p>
        </w:tc>
      </w:tr>
      <w:tr>
        <w:tc>
          <w:tcPr>
            <w:tcW w:type="dxa" w:w="4320"/>
          </w:tcPr>
          <w:p>
            <w:r>
              <w:t>Akademik etkiyi artırmaya yönelik içerik yeterliliği</w:t>
            </w:r>
          </w:p>
        </w:tc>
        <w:tc>
          <w:tcPr>
            <w:tcW w:type="dxa" w:w="4320"/>
          </w:tcPr>
          <w:p>
            <w:r>
              <w:t>5.0</w:t>
            </w:r>
          </w:p>
        </w:tc>
      </w:tr>
      <w:tr>
        <w:tc>
          <w:tcPr>
            <w:tcW w:type="dxa" w:w="4320"/>
          </w:tcPr>
          <w:p>
            <w:r>
              <w:t>AR-GE çalışmalarının yayınlara dönüştürülmesi konusundaki katkısı</w:t>
            </w:r>
          </w:p>
        </w:tc>
        <w:tc>
          <w:tcPr>
            <w:tcW w:type="dxa" w:w="4320"/>
          </w:tcPr>
          <w:p>
            <w:r>
              <w:t>4.88</w:t>
            </w:r>
          </w:p>
        </w:tc>
      </w:tr>
      <w:tr>
        <w:tc>
          <w:tcPr>
            <w:tcW w:type="dxa" w:w="4320"/>
          </w:tcPr>
          <w:p>
            <w:r>
              <w:t>Yayın süreçleri hakkında verilen bilgilerin faydalılığı</w:t>
            </w:r>
          </w:p>
        </w:tc>
        <w:tc>
          <w:tcPr>
            <w:tcW w:type="dxa" w:w="4320"/>
          </w:tcPr>
          <w:p>
            <w:r>
              <w:t>4.88</w:t>
            </w:r>
          </w:p>
        </w:tc>
      </w:tr>
      <w:tr>
        <w:tc>
          <w:tcPr>
            <w:tcW w:type="dxa" w:w="4320"/>
          </w:tcPr>
          <w:p>
            <w:r>
              <w:t>Konuşmacının konuya hakimiyeti ve anlatımı</w:t>
            </w:r>
          </w:p>
        </w:tc>
        <w:tc>
          <w:tcPr>
            <w:tcW w:type="dxa" w:w="4320"/>
          </w:tcPr>
          <w:p>
            <w:r>
              <w:t>4.88</w:t>
            </w:r>
          </w:p>
        </w:tc>
      </w:tr>
      <w:tr>
        <w:tc>
          <w:tcPr>
            <w:tcW w:type="dxa" w:w="4320"/>
          </w:tcPr>
          <w:p>
            <w:r>
              <w:t>Sunumun anlaşılabilirliği</w:t>
            </w:r>
          </w:p>
        </w:tc>
        <w:tc>
          <w:tcPr>
            <w:tcW w:type="dxa" w:w="4320"/>
          </w:tcPr>
          <w:p>
            <w:r>
              <w:t>4.88</w:t>
            </w:r>
          </w:p>
        </w:tc>
      </w:tr>
      <w:tr>
        <w:tc>
          <w:tcPr>
            <w:tcW w:type="dxa" w:w="4320"/>
          </w:tcPr>
          <w:p>
            <w:r>
              <w:t>Seminerin akademik gelişiminize katkısı</w:t>
            </w:r>
          </w:p>
        </w:tc>
        <w:tc>
          <w:tcPr>
            <w:tcW w:type="dxa" w:w="4320"/>
          </w:tcPr>
          <w:p>
            <w:r>
              <w:t>5.0</w:t>
            </w:r>
          </w:p>
        </w:tc>
      </w:tr>
    </w:tbl>
    <w:p/>
    <w:p>
      <w:pPr>
        <w:pStyle w:val="Heading2"/>
      </w:pPr>
      <w:r>
        <w:t>Akademik Etkiyi Artırmak ve AR-GE Çalışmalarını Etkili Yayınlara Dönüştürmek Semineri Değerlendirme Anketi</w:t>
      </w:r>
    </w:p>
    <w:p>
      <w:r>
        <w:t>Akademik Etkiyi Artırmak ve AR-GE Çalışmalarını Etkili Yayınlara Dönüştürmek Semineri Değerlendirme Anketi seminerine toplam 6 katılımcı anket aracılığıyla geri bildirim sağlamıştır. Katılımcı değerlendirmelerine göre seminerin genel memnuniyet ortalaması 4.0/5 olarak belirlenmiştir. Özellikle konuşmacının konu hakimiyeti, sunumun anlaşılabilirliği ve akademik katkı boyutlarında yüksek puanlar elde edilmiştir. Katılımcıların tamamı benzer akademik seminerlerin devam etmesini istediklerini belirtmiştir. Bununla birlikte bazı katılımcılar özellikle Akademik etkiyi artırmaya yönelik içerik yeterliliği, AR-GE çalışmalarının yayınlara dönüştürülmesi konusundaki katkısı, Seminerin akademik gelişiminize katkısı konularında geliştirme yapılabileceğini ifade etmiştir. Genel olarak seminerin akademik farkındalık oluşturduğu ve katılımcılar açısından faydalı bulunduğu sonucuna ulaşılmıştır.</w:t>
      </w:r>
    </w:p>
    <w:tbl>
      <w:tblPr>
        <w:tblStyle w:val="TableGrid"/>
        <w:tblW w:type="auto" w:w="0"/>
        <w:tblLook w:firstColumn="1" w:firstRow="1" w:lastColumn="0" w:lastRow="0" w:noHBand="0" w:noVBand="1" w:val="04A0"/>
      </w:tblPr>
      <w:tblGrid>
        <w:gridCol w:w="4320"/>
        <w:gridCol w:w="4320"/>
      </w:tblGrid>
      <w:tr>
        <w:tc>
          <w:tcPr>
            <w:tcW w:type="dxa" w:w="4320"/>
          </w:tcPr>
          <w:p>
            <w:r>
              <w:t>Değerlendirme Kriteri</w:t>
            </w:r>
          </w:p>
        </w:tc>
        <w:tc>
          <w:tcPr>
            <w:tcW w:type="dxa" w:w="4320"/>
          </w:tcPr>
          <w:p>
            <w:r>
              <w:t>Ortalama Puan</w:t>
            </w:r>
          </w:p>
        </w:tc>
      </w:tr>
      <w:tr>
        <w:tc>
          <w:tcPr>
            <w:tcW w:type="dxa" w:w="4320"/>
          </w:tcPr>
          <w:p>
            <w:r>
              <w:t>Seminerin genel kalitesini değerlendiriniz</w:t>
            </w:r>
          </w:p>
        </w:tc>
        <w:tc>
          <w:tcPr>
            <w:tcW w:type="dxa" w:w="4320"/>
          </w:tcPr>
          <w:p>
            <w:r>
              <w:t>4.17</w:t>
            </w:r>
          </w:p>
        </w:tc>
      </w:tr>
      <w:tr>
        <w:tc>
          <w:tcPr>
            <w:tcW w:type="dxa" w:w="4320"/>
          </w:tcPr>
          <w:p>
            <w:r>
              <w:t>Akademik etkiyi artırmaya yönelik içerik yeterliliği</w:t>
            </w:r>
          </w:p>
        </w:tc>
        <w:tc>
          <w:tcPr>
            <w:tcW w:type="dxa" w:w="4320"/>
          </w:tcPr>
          <w:p>
            <w:r>
              <w:t>3.83</w:t>
            </w:r>
          </w:p>
        </w:tc>
      </w:tr>
      <w:tr>
        <w:tc>
          <w:tcPr>
            <w:tcW w:type="dxa" w:w="4320"/>
          </w:tcPr>
          <w:p>
            <w:r>
              <w:t>AR-GE çalışmalarının yayınlara dönüştürülmesi konusundaki katkısı</w:t>
            </w:r>
          </w:p>
        </w:tc>
        <w:tc>
          <w:tcPr>
            <w:tcW w:type="dxa" w:w="4320"/>
          </w:tcPr>
          <w:p>
            <w:r>
              <w:t>3.5</w:t>
            </w:r>
          </w:p>
        </w:tc>
      </w:tr>
      <w:tr>
        <w:tc>
          <w:tcPr>
            <w:tcW w:type="dxa" w:w="4320"/>
          </w:tcPr>
          <w:p>
            <w:r>
              <w:t>Yayın süreçleri hakkında verilen bilgilerin faydalılığı</w:t>
            </w:r>
          </w:p>
        </w:tc>
        <w:tc>
          <w:tcPr>
            <w:tcW w:type="dxa" w:w="4320"/>
          </w:tcPr>
          <w:p>
            <w:r>
              <w:t>4.0</w:t>
            </w:r>
          </w:p>
        </w:tc>
      </w:tr>
      <w:tr>
        <w:tc>
          <w:tcPr>
            <w:tcW w:type="dxa" w:w="4320"/>
          </w:tcPr>
          <w:p>
            <w:r>
              <w:t>Konuşmacının konuya hakimiyeti ve anlatımı</w:t>
            </w:r>
          </w:p>
        </w:tc>
        <w:tc>
          <w:tcPr>
            <w:tcW w:type="dxa" w:w="4320"/>
          </w:tcPr>
          <w:p>
            <w:r>
              <w:t>4.5</w:t>
            </w:r>
          </w:p>
        </w:tc>
      </w:tr>
      <w:tr>
        <w:tc>
          <w:tcPr>
            <w:tcW w:type="dxa" w:w="4320"/>
          </w:tcPr>
          <w:p>
            <w:r>
              <w:t>Sunumun anlaşılabilirliği</w:t>
            </w:r>
          </w:p>
        </w:tc>
        <w:tc>
          <w:tcPr>
            <w:tcW w:type="dxa" w:w="4320"/>
          </w:tcPr>
          <w:p>
            <w:r>
              <w:t>4.33</w:t>
            </w:r>
          </w:p>
        </w:tc>
      </w:tr>
      <w:tr>
        <w:tc>
          <w:tcPr>
            <w:tcW w:type="dxa" w:w="4320"/>
          </w:tcPr>
          <w:p>
            <w:r>
              <w:t>Seminerin akademik gelişiminize katkısı</w:t>
            </w:r>
          </w:p>
        </w:tc>
        <w:tc>
          <w:tcPr>
            <w:tcW w:type="dxa" w:w="4320"/>
          </w:tcPr>
          <w:p>
            <w:r>
              <w:t>3.67</w:t>
            </w:r>
          </w:p>
        </w:tc>
      </w:tr>
    </w:tbl>
    <w:p/>
    <w:p>
      <w:pPr>
        <w:pStyle w:val="Heading2"/>
      </w:pPr>
      <w:r>
        <w:t>Genel Sonuç</w:t>
      </w:r>
    </w:p>
    <w:p>
      <w:r>
        <w:t>Anket sonuçları incelendiğinde, düzenlenen seminerlerin katılımcılar tarafından genel olarak yüksek memnuniyet düzeyi ile değerlendirildiği görülmektedir. Özellikle konuşmacıların uzmanlık düzeyi, sunumların anlaşılır olması ve seminer içeriklerinin akademik gelişime katkı sağlaması öne çıkan güçlü yönler arasında yer almıştır. Katılımcılar, bu tür akademik etkinliklerin devam etmesini istediklerini ifade etmiş ve gelecekte daha fazla uygulama, yayın süreçleri, proje yönetimi ve akademik iş birlikleri üzerine eğitim talebinde bulunmuşlardır.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