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0601" w14:textId="77777777" w:rsidR="00854E07" w:rsidRDefault="00000000">
      <w:pPr>
        <w:spacing w:before="200" w:after="140"/>
        <w:ind w:firstLine="567"/>
      </w:pPr>
      <w:r>
        <w:rPr>
          <w:color w:val="202124"/>
        </w:rPr>
        <w:t>HAFSA SULTAN MTAL ÖĞRENCİLERİNE KARİYER YÖNLENDİRME EĞİTİMİ VE TEKNİK GEZİ, 6 Aralık 2024 tarihinde 35 katılımcıyla tamamlandı. Dış paydaş iş birliği (lise-üniversite köprüsü) çerçevesinde meslek lisesi öğrencilerine rehberlik amacıyla kurgulanmıştır. Kariyer yönlendirme etkinliğinin planlanmasında, öğrencilerin mesleki tercihlerini netleştirme ve uygun kariyer yollarını keşfetme konusundaki sistematik rehberlik ihtiyacı belirleyici oldu. Program; bireysel değerlendirme, sektör tanıtımı ve uzman görüşmelerinden oluşan bütünleşik bir yaklaşım benimsedi.</w:t>
      </w:r>
    </w:p>
    <w:p w14:paraId="51D6877F" w14:textId="77777777" w:rsidR="00854E07" w:rsidRDefault="00000000">
      <w:pPr>
        <w:spacing w:before="160" w:after="140"/>
        <w:ind w:firstLine="567"/>
      </w:pPr>
      <w:r>
        <w:rPr>
          <w:color w:val="202124"/>
        </w:rPr>
        <w:t xml:space="preserve">6 </w:t>
      </w:r>
      <w:proofErr w:type="spellStart"/>
      <w:r>
        <w:rPr>
          <w:color w:val="202124"/>
        </w:rPr>
        <w:t>Aralık</w:t>
      </w:r>
      <w:proofErr w:type="spellEnd"/>
      <w:r>
        <w:rPr>
          <w:color w:val="202124"/>
        </w:rPr>
        <w:t xml:space="preserve"> 2024 </w:t>
      </w:r>
      <w:proofErr w:type="spellStart"/>
      <w:r>
        <w:rPr>
          <w:color w:val="202124"/>
        </w:rPr>
        <w:t>tarihinde</w:t>
      </w:r>
      <w:proofErr w:type="spellEnd"/>
      <w:r>
        <w:rPr>
          <w:color w:val="202124"/>
        </w:rPr>
        <w:t xml:space="preserve"> teknik gezi ve kariyer yönlendirme eğitimi sunulmuştur. Program boyunca gerçekleştirilen kariyer envanteri uygulamaları, sektör tanıtım sunumları ve bireysel danışmanlık görüşmeleri, katılımcılara mesleki kimliklerini keşfetme konusunda sistematik bir yol haritası sundu. Uzmanlar, öğrencilerin ilgi ve yetkinliklerini somut kariyer seçenekleriyle ilişkilendirerek rehberliği kişiselleştirdi. Sektörel bilgi ile bireysel farkındalığın bir arada ele alınması, etkinliğin katma değerini belirgin biçimde artırdı.</w:t>
      </w:r>
    </w:p>
    <w:p w14:paraId="0E871624" w14:textId="77777777" w:rsidR="00854E07" w:rsidRDefault="00000000">
      <w:pPr>
        <w:spacing w:before="160" w:after="140"/>
        <w:ind w:firstLine="567"/>
      </w:pPr>
      <w:proofErr w:type="spellStart"/>
      <w:r>
        <w:rPr>
          <w:color w:val="202124"/>
        </w:rPr>
        <w:t>Etkinliğe</w:t>
      </w:r>
      <w:proofErr w:type="spellEnd"/>
      <w:r>
        <w:rPr>
          <w:color w:val="202124"/>
        </w:rPr>
        <w:t xml:space="preserve"> </w:t>
      </w:r>
      <w:proofErr w:type="spellStart"/>
      <w:r>
        <w:rPr>
          <w:color w:val="202124"/>
        </w:rPr>
        <w:t>toplamda</w:t>
      </w:r>
      <w:proofErr w:type="spellEnd"/>
      <w:r>
        <w:rPr>
          <w:color w:val="202124"/>
        </w:rPr>
        <w:t xml:space="preserve"> 35 </w:t>
      </w:r>
      <w:proofErr w:type="spellStart"/>
      <w:r>
        <w:rPr>
          <w:color w:val="202124"/>
        </w:rPr>
        <w:t>kişi</w:t>
      </w:r>
      <w:proofErr w:type="spellEnd"/>
      <w:r>
        <w:rPr>
          <w:color w:val="202124"/>
        </w:rPr>
        <w:t xml:space="preserve"> katıldı; katılımcıların büyük çoğunluğunu 33 öğrenci oluşturdu. Etkinliğe 2 akademik/idari personel eşlik etti. Etkinlik sonrası uygulanan memnuniyet anketi, 32 katılımcı tarafından yanıtlandı (anket katılım oranı: %91). Anketin geniş bir yanıt tabanına ulaşması, değerlendirmelerin temsil gücünü artırmakta ve etkinlik kalitesine ilişkin çıkarımlara daha sağlam bir zemin oluşturmaktadır.</w:t>
      </w:r>
    </w:p>
    <w:p w14:paraId="2DF1F2FE" w14:textId="77777777" w:rsidR="00854E07" w:rsidRDefault="00000000">
      <w:pPr>
        <w:spacing w:before="160" w:after="140"/>
        <w:ind w:firstLine="567"/>
      </w:pPr>
      <w:proofErr w:type="spellStart"/>
      <w:r>
        <w:rPr>
          <w:color w:val="202124"/>
        </w:rPr>
        <w:t>Etkinlik</w:t>
      </w:r>
      <w:proofErr w:type="spellEnd"/>
      <w:r>
        <w:rPr>
          <w:color w:val="202124"/>
        </w:rPr>
        <w:t xml:space="preserve"> </w:t>
      </w:r>
      <w:proofErr w:type="spellStart"/>
      <w:r>
        <w:rPr>
          <w:color w:val="202124"/>
        </w:rPr>
        <w:t>içeriği</w:t>
      </w:r>
      <w:proofErr w:type="spellEnd"/>
      <w:r>
        <w:rPr>
          <w:color w:val="202124"/>
        </w:rPr>
        <w:t xml:space="preserve"> </w:t>
      </w:r>
      <w:proofErr w:type="spellStart"/>
      <w:r>
        <w:rPr>
          <w:color w:val="202124"/>
        </w:rPr>
        <w:t>iki</w:t>
      </w:r>
      <w:proofErr w:type="spellEnd"/>
      <w:r>
        <w:rPr>
          <w:color w:val="202124"/>
        </w:rPr>
        <w:t xml:space="preserve"> </w:t>
      </w:r>
      <w:proofErr w:type="spellStart"/>
      <w:r>
        <w:rPr>
          <w:color w:val="202124"/>
        </w:rPr>
        <w:t>temel</w:t>
      </w:r>
      <w:proofErr w:type="spellEnd"/>
      <w:r>
        <w:rPr>
          <w:color w:val="202124"/>
        </w:rPr>
        <w:t xml:space="preserve"> boyutta ele alındı: programın genel içerik kalitesi ve konuşmacı/eğitmen performansı. Genel içerik memnuniyeti 4.50/5.00 olarak ölçülürken, katılımcıların %91'i bu boyutta 4 veya 5 puan verdi. Konuşmacı ve sunum kalitesi ise 4.60/5.00 ortalama ile değerlendirildi; %97'si yüksek memnuniyet bildirdi. Konuşmacı performansının içerik memnuniyetinin hafif üzerinde çıkması, sunumların içeriği ön plana çıkardığına işaret etmektedir. Her iki boyutun bütünleşik ortalaması 4.55/5.00 düzeyinde gerçekleşmesiyle içerik kalitesinin genel olarak yüksek bir değerlendirmeye konu olduğu görülmektedir. Eğitimden memnun kalınmakla birlikte, teknik gezinin süresinin kısa kaldığı ve mutfak ziyaretinin uzatılması istendiği tespit edilmiştir.</w:t>
      </w:r>
    </w:p>
    <w:p w14:paraId="0EF507B3" w14:textId="77777777" w:rsidR="00854E07" w:rsidRDefault="00000000">
      <w:pPr>
        <w:spacing w:before="160" w:after="140"/>
        <w:ind w:firstLine="567"/>
      </w:pPr>
      <w:proofErr w:type="spellStart"/>
      <w:r>
        <w:rPr>
          <w:color w:val="202124"/>
        </w:rPr>
        <w:t>Anket</w:t>
      </w:r>
      <w:proofErr w:type="spellEnd"/>
      <w:r>
        <w:rPr>
          <w:color w:val="202124"/>
        </w:rPr>
        <w:t xml:space="preserve"> </w:t>
      </w:r>
      <w:proofErr w:type="spellStart"/>
      <w:r>
        <w:rPr>
          <w:color w:val="202124"/>
        </w:rPr>
        <w:t>verileri</w:t>
      </w:r>
      <w:proofErr w:type="spellEnd"/>
      <w:r>
        <w:rPr>
          <w:color w:val="202124"/>
        </w:rPr>
        <w:t xml:space="preserve"> </w:t>
      </w:r>
      <w:proofErr w:type="spellStart"/>
      <w:r>
        <w:rPr>
          <w:color w:val="202124"/>
        </w:rPr>
        <w:t>beş</w:t>
      </w:r>
      <w:proofErr w:type="spellEnd"/>
      <w:r>
        <w:rPr>
          <w:color w:val="202124"/>
        </w:rPr>
        <w:t xml:space="preserve"> </w:t>
      </w:r>
      <w:proofErr w:type="spellStart"/>
      <w:r>
        <w:rPr>
          <w:color w:val="202124"/>
        </w:rPr>
        <w:t>farklı</w:t>
      </w:r>
      <w:proofErr w:type="spellEnd"/>
      <w:r>
        <w:rPr>
          <w:color w:val="202124"/>
        </w:rPr>
        <w:t xml:space="preserve"> boyut üzerinden analiz edildiğinde etkinliğin yüksek düzeyde bir memnuniyet ile sonuçlandığı görülmektedir (5 boyutun ağırlıksız ortalaması: 4.47/5.00). Kariyer katkısı boyutunda katılımcılar 4.40/5.00 ortalama verdi; bu oran, etkinliğin mesleki gelişime olumlu bir katkı sağladığını ortaya koymaktadır. Katılımcıların %91'i kariyer katkısını yüksek (4-5 puan) olarak değerlendirdi. Organizasyon boyutunda ise elde edilen 4.31/5.00 ortalama, lojistik ve planlama açısından olumlu bir deneyim yaşandığına işaret etmektedir. Genel memnuniyet ve yeniden katılım isteği sorusunda 4.56/5.00 ortalama elde edildi; katılımcıların %91'i bu etkinliğe benzer programlara tekrar iştirak etmek istediklerini belirtti. Bu oran, etkinliğin bıraktığı kalıcı izlenim açısından güçlü bir gösterge niteliği taşımaktadır.</w:t>
      </w:r>
    </w:p>
    <w:p w14:paraId="65F0666C" w14:textId="77777777" w:rsidR="00854E07" w:rsidRDefault="00000000">
      <w:pPr>
        <w:spacing w:before="160" w:after="140"/>
        <w:ind w:firstLine="567"/>
      </w:pPr>
      <w:r>
        <w:rPr>
          <w:color w:val="202124"/>
        </w:rPr>
        <w:t xml:space="preserve">Açık </w:t>
      </w:r>
      <w:proofErr w:type="spellStart"/>
      <w:r>
        <w:rPr>
          <w:color w:val="202124"/>
        </w:rPr>
        <w:t>uçlu</w:t>
      </w:r>
      <w:proofErr w:type="spellEnd"/>
      <w:r>
        <w:rPr>
          <w:color w:val="202124"/>
        </w:rPr>
        <w:t xml:space="preserve"> </w:t>
      </w:r>
      <w:proofErr w:type="spellStart"/>
      <w:r>
        <w:rPr>
          <w:color w:val="202124"/>
        </w:rPr>
        <w:t>anket</w:t>
      </w:r>
      <w:proofErr w:type="spellEnd"/>
      <w:r>
        <w:rPr>
          <w:color w:val="202124"/>
        </w:rPr>
        <w:t xml:space="preserve"> </w:t>
      </w:r>
      <w:proofErr w:type="spellStart"/>
      <w:r>
        <w:rPr>
          <w:color w:val="202124"/>
        </w:rPr>
        <w:t>sorularına</w:t>
      </w:r>
      <w:proofErr w:type="spellEnd"/>
      <w:r>
        <w:rPr>
          <w:color w:val="202124"/>
        </w:rPr>
        <w:t xml:space="preserve"> verilen yanıtlar incelendiğinde geri bildirimlerin yaklaşık %84'inin olumlu veya takdire değer unsurları ön plana çıkardığı, %16'inin ise iyileştirmeye açık alanları işaret ettiği görülmektedir. Öğrencilerin en çok vurguladığı olumlu unsurlar arasında bireysel değerlendirme fırsatı ve uzman rehberliğinin kişiselleştirilmiş yapısı yer aldı. Geliştirme </w:t>
      </w:r>
      <w:r>
        <w:rPr>
          <w:color w:val="202124"/>
        </w:rPr>
        <w:lastRenderedPageBreak/>
        <w:t>önerileri arasında ise daha küçük gruplar halinde çalışılması ve bireysel görüşme sürelerinin artırılması öne çıktı. Bu geri bildirimler, etkinliğin güçlü yönlerini pekiştiren ve gelişime açık alanlarını açıkça ortaya koyan somut veriler olarak değerlendirilmektedir.</w:t>
      </w:r>
    </w:p>
    <w:p w14:paraId="5B71B414" w14:textId="77777777" w:rsidR="00854E07" w:rsidRDefault="00000000">
      <w:pPr>
        <w:spacing w:before="160" w:after="140"/>
        <w:ind w:firstLine="567"/>
      </w:pPr>
      <w:proofErr w:type="spellStart"/>
      <w:r>
        <w:rPr>
          <w:color w:val="202124"/>
        </w:rPr>
        <w:t>Kariyer</w:t>
      </w:r>
      <w:proofErr w:type="spellEnd"/>
      <w:r>
        <w:rPr>
          <w:color w:val="202124"/>
        </w:rPr>
        <w:t xml:space="preserve"> </w:t>
      </w:r>
      <w:proofErr w:type="spellStart"/>
      <w:r>
        <w:rPr>
          <w:color w:val="202124"/>
        </w:rPr>
        <w:t>rehberliği</w:t>
      </w:r>
      <w:proofErr w:type="spellEnd"/>
      <w:r>
        <w:rPr>
          <w:color w:val="202124"/>
        </w:rPr>
        <w:t xml:space="preserve"> </w:t>
      </w:r>
      <w:proofErr w:type="spellStart"/>
      <w:r>
        <w:rPr>
          <w:color w:val="202124"/>
        </w:rPr>
        <w:t>etkinliğinden</w:t>
      </w:r>
      <w:proofErr w:type="spellEnd"/>
      <w:r>
        <w:rPr>
          <w:color w:val="202124"/>
        </w:rPr>
        <w:t xml:space="preserve"> </w:t>
      </w:r>
      <w:proofErr w:type="spellStart"/>
      <w:r>
        <w:rPr>
          <w:color w:val="202124"/>
        </w:rPr>
        <w:t>elde</w:t>
      </w:r>
      <w:proofErr w:type="spellEnd"/>
      <w:r>
        <w:rPr>
          <w:color w:val="202124"/>
        </w:rPr>
        <w:t xml:space="preserve"> edilen nitel ve nicel bulgular çerçevesinde, Sonraki dış paydaş lise ziyaret programlarında teknik gezi süresinin 1 saatten 2 saate çıkarılması kararlaştırılmıştır. Etkinliğin en düşük değerlendirme aldığı organizasyon düzeyi boyutundaki geri bildirimler (4.31/5.00) sonraki planlamada öncelikli odak alanı olarak ele alınacak; konuşmacı/sunum kalitesi boyutundaki güçlü performans (4.60/5.00) ise sürdürülmesi ve geliştirilmesi gereken bir kazanım olarak korunacaktır.</w:t>
      </w: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3937"/>
      </w:tblGrid>
      <w:tr w:rsidR="00F85940" w14:paraId="68CEFB69" w14:textId="77777777" w:rsidTr="004A5EB4">
        <w:trPr>
          <w:jc w:val="center"/>
        </w:trPr>
        <w:tc>
          <w:tcPr>
            <w:tcW w:w="1968" w:type="dxa"/>
            <w:shd w:val="clear" w:color="auto" w:fill="F9F9F9"/>
          </w:tcPr>
          <w:p w14:paraId="4E115F72" w14:textId="77777777" w:rsidR="00F85940" w:rsidRDefault="00F85940" w:rsidP="004A5EB4">
            <w:proofErr w:type="spellStart"/>
            <w:r>
              <w:rPr>
                <w:rFonts w:ascii="Times New Roman" w:hAnsi="Times New Roman"/>
                <w:b/>
                <w:sz w:val="20"/>
              </w:rPr>
              <w:t>Etkinlik</w:t>
            </w:r>
            <w:proofErr w:type="spellEnd"/>
            <w:r>
              <w:rPr>
                <w:rFonts w:ascii="Times New Roman" w:hAnsi="Times New Roman"/>
                <w:b/>
                <w:sz w:val="20"/>
              </w:rPr>
              <w:t xml:space="preserve"> </w:t>
            </w:r>
            <w:proofErr w:type="spellStart"/>
            <w:r>
              <w:rPr>
                <w:rFonts w:ascii="Times New Roman" w:hAnsi="Times New Roman"/>
                <w:b/>
                <w:sz w:val="20"/>
              </w:rPr>
              <w:t>Tarihi</w:t>
            </w:r>
            <w:proofErr w:type="spellEnd"/>
          </w:p>
        </w:tc>
        <w:tc>
          <w:tcPr>
            <w:tcW w:w="3937" w:type="dxa"/>
          </w:tcPr>
          <w:p w14:paraId="0B878391" w14:textId="77777777" w:rsidR="00F85940" w:rsidRDefault="00F85940" w:rsidP="004A5EB4">
            <w:r>
              <w:rPr>
                <w:rFonts w:ascii="Times New Roman" w:hAnsi="Times New Roman"/>
                <w:sz w:val="20"/>
              </w:rPr>
              <w:t xml:space="preserve">6 </w:t>
            </w:r>
            <w:proofErr w:type="spellStart"/>
            <w:r>
              <w:rPr>
                <w:rFonts w:ascii="Times New Roman" w:hAnsi="Times New Roman"/>
                <w:sz w:val="20"/>
              </w:rPr>
              <w:t>Aralık</w:t>
            </w:r>
            <w:proofErr w:type="spellEnd"/>
            <w:r>
              <w:rPr>
                <w:rFonts w:ascii="Times New Roman" w:hAnsi="Times New Roman"/>
                <w:sz w:val="20"/>
              </w:rPr>
              <w:t xml:space="preserve"> 2024</w:t>
            </w:r>
          </w:p>
        </w:tc>
      </w:tr>
      <w:tr w:rsidR="00F85940" w14:paraId="04A31302" w14:textId="77777777" w:rsidTr="004A5EB4">
        <w:trPr>
          <w:jc w:val="center"/>
        </w:trPr>
        <w:tc>
          <w:tcPr>
            <w:tcW w:w="1968" w:type="dxa"/>
            <w:shd w:val="clear" w:color="auto" w:fill="F9F9F9"/>
          </w:tcPr>
          <w:p w14:paraId="678FCBA6" w14:textId="77777777" w:rsidR="00F85940" w:rsidRDefault="00F85940" w:rsidP="004A5EB4">
            <w:proofErr w:type="spellStart"/>
            <w:r>
              <w:rPr>
                <w:rFonts w:ascii="Times New Roman" w:hAnsi="Times New Roman"/>
                <w:b/>
                <w:sz w:val="20"/>
              </w:rPr>
              <w:t>Katılımcı</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12849DB6" w14:textId="2AE6BA50" w:rsidR="00F85940" w:rsidRDefault="00F85940" w:rsidP="004A5EB4">
            <w:r>
              <w:rPr>
                <w:rFonts w:ascii="Times New Roman" w:hAnsi="Times New Roman"/>
                <w:sz w:val="20"/>
              </w:rPr>
              <w:t xml:space="preserve">35 </w:t>
            </w:r>
            <w:proofErr w:type="spellStart"/>
            <w:r>
              <w:rPr>
                <w:rFonts w:ascii="Times New Roman" w:hAnsi="Times New Roman"/>
                <w:sz w:val="20"/>
              </w:rPr>
              <w:t>Kişi</w:t>
            </w:r>
            <w:proofErr w:type="spellEnd"/>
            <w:r>
              <w:rPr>
                <w:rFonts w:ascii="Times New Roman" w:hAnsi="Times New Roman"/>
                <w:sz w:val="20"/>
              </w:rPr>
              <w:t xml:space="preserve"> </w:t>
            </w:r>
          </w:p>
        </w:tc>
      </w:tr>
      <w:tr w:rsidR="00F85940" w14:paraId="5CF3A4F9" w14:textId="77777777" w:rsidTr="004A5EB4">
        <w:trPr>
          <w:jc w:val="center"/>
        </w:trPr>
        <w:tc>
          <w:tcPr>
            <w:tcW w:w="1968" w:type="dxa"/>
            <w:shd w:val="clear" w:color="auto" w:fill="F9F9F9"/>
          </w:tcPr>
          <w:p w14:paraId="7F1CD691" w14:textId="77777777" w:rsidR="00F85940" w:rsidRDefault="00F85940" w:rsidP="004A5EB4">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Yanıt</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10606447" w14:textId="77777777" w:rsidR="00F85940" w:rsidRDefault="00F85940" w:rsidP="004A5EB4">
            <w:r>
              <w:rPr>
                <w:rFonts w:ascii="Times New Roman" w:hAnsi="Times New Roman"/>
                <w:sz w:val="20"/>
              </w:rPr>
              <w:t xml:space="preserve">32 </w:t>
            </w:r>
            <w:proofErr w:type="spellStart"/>
            <w:r>
              <w:rPr>
                <w:rFonts w:ascii="Times New Roman" w:hAnsi="Times New Roman"/>
                <w:sz w:val="20"/>
              </w:rPr>
              <w:t>Katılımcı</w:t>
            </w:r>
            <w:proofErr w:type="spellEnd"/>
          </w:p>
        </w:tc>
      </w:tr>
      <w:tr w:rsidR="00F85940" w14:paraId="55922AEA" w14:textId="77777777" w:rsidTr="004A5EB4">
        <w:trPr>
          <w:jc w:val="center"/>
        </w:trPr>
        <w:tc>
          <w:tcPr>
            <w:tcW w:w="1968" w:type="dxa"/>
            <w:shd w:val="clear" w:color="auto" w:fill="F9F9F9"/>
          </w:tcPr>
          <w:p w14:paraId="0A0CD29B" w14:textId="77777777" w:rsidR="00F85940" w:rsidRDefault="00F85940" w:rsidP="004A5EB4">
            <w:proofErr w:type="spellStart"/>
            <w:r>
              <w:rPr>
                <w:rFonts w:ascii="Times New Roman" w:hAnsi="Times New Roman"/>
                <w:b/>
                <w:sz w:val="20"/>
              </w:rPr>
              <w:t>Katılım</w:t>
            </w:r>
            <w:proofErr w:type="spellEnd"/>
            <w:r>
              <w:rPr>
                <w:rFonts w:ascii="Times New Roman" w:hAnsi="Times New Roman"/>
                <w:b/>
                <w:sz w:val="20"/>
              </w:rPr>
              <w:t xml:space="preserve"> / </w:t>
            </w:r>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Dönüş</w:t>
            </w:r>
            <w:proofErr w:type="spellEnd"/>
            <w:r>
              <w:rPr>
                <w:rFonts w:ascii="Times New Roman" w:hAnsi="Times New Roman"/>
                <w:b/>
                <w:sz w:val="20"/>
              </w:rPr>
              <w:t xml:space="preserve"> </w:t>
            </w:r>
            <w:proofErr w:type="spellStart"/>
            <w:r>
              <w:rPr>
                <w:rFonts w:ascii="Times New Roman" w:hAnsi="Times New Roman"/>
                <w:b/>
                <w:sz w:val="20"/>
              </w:rPr>
              <w:t>Oranı</w:t>
            </w:r>
            <w:proofErr w:type="spellEnd"/>
          </w:p>
        </w:tc>
        <w:tc>
          <w:tcPr>
            <w:tcW w:w="3937" w:type="dxa"/>
          </w:tcPr>
          <w:p w14:paraId="28F8383C" w14:textId="77777777" w:rsidR="00F85940" w:rsidRDefault="00F85940" w:rsidP="004A5EB4">
            <w:r>
              <w:rPr>
                <w:rFonts w:ascii="Times New Roman" w:hAnsi="Times New Roman"/>
                <w:sz w:val="20"/>
              </w:rPr>
              <w:t>%91.0</w:t>
            </w:r>
          </w:p>
        </w:tc>
      </w:tr>
      <w:tr w:rsidR="00F85940" w14:paraId="4ED0C502" w14:textId="77777777" w:rsidTr="004A5EB4">
        <w:trPr>
          <w:jc w:val="center"/>
        </w:trPr>
        <w:tc>
          <w:tcPr>
            <w:tcW w:w="1968" w:type="dxa"/>
            <w:shd w:val="clear" w:color="auto" w:fill="F9F9F9"/>
          </w:tcPr>
          <w:p w14:paraId="63853A08" w14:textId="77777777" w:rsidR="00F85940" w:rsidRDefault="00F85940" w:rsidP="004A5EB4">
            <w:r>
              <w:rPr>
                <w:rFonts w:ascii="Times New Roman" w:hAnsi="Times New Roman"/>
                <w:b/>
                <w:sz w:val="20"/>
              </w:rPr>
              <w:t xml:space="preserve">Genel </w:t>
            </w:r>
            <w:proofErr w:type="spellStart"/>
            <w:r>
              <w:rPr>
                <w:rFonts w:ascii="Times New Roman" w:hAnsi="Times New Roman"/>
                <w:b/>
                <w:sz w:val="20"/>
              </w:rPr>
              <w:t>Ortalama</w:t>
            </w:r>
            <w:proofErr w:type="spellEnd"/>
            <w:r>
              <w:rPr>
                <w:rFonts w:ascii="Times New Roman" w:hAnsi="Times New Roman"/>
                <w:b/>
                <w:sz w:val="20"/>
              </w:rPr>
              <w:t xml:space="preserve"> </w:t>
            </w:r>
            <w:proofErr w:type="spellStart"/>
            <w:r>
              <w:rPr>
                <w:rFonts w:ascii="Times New Roman" w:hAnsi="Times New Roman"/>
                <w:b/>
                <w:sz w:val="20"/>
              </w:rPr>
              <w:t>Memnuniyet</w:t>
            </w:r>
            <w:proofErr w:type="spellEnd"/>
          </w:p>
        </w:tc>
        <w:tc>
          <w:tcPr>
            <w:tcW w:w="3937" w:type="dxa"/>
          </w:tcPr>
          <w:p w14:paraId="09103BBF" w14:textId="77777777" w:rsidR="00F85940" w:rsidRDefault="00F85940" w:rsidP="004A5EB4">
            <w:r>
              <w:rPr>
                <w:rFonts w:ascii="Times New Roman" w:hAnsi="Times New Roman"/>
                <w:sz w:val="20"/>
              </w:rPr>
              <w:t>4.47 / 5.00</w:t>
            </w:r>
          </w:p>
        </w:tc>
      </w:tr>
    </w:tbl>
    <w:p w14:paraId="55CE13FC" w14:textId="77777777" w:rsidR="00854E07" w:rsidRDefault="00854E07">
      <w:pPr>
        <w:pBdr>
          <w:bottom w:val="single" w:sz="4" w:space="1" w:color="DADCE0"/>
        </w:pBdr>
        <w:spacing w:before="80" w:after="80"/>
      </w:pPr>
    </w:p>
    <w:p w14:paraId="6D28D1F8" w14:textId="77777777" w:rsidR="00F85940" w:rsidRDefault="00F85940">
      <w:pPr>
        <w:pBdr>
          <w:bottom w:val="single" w:sz="4" w:space="1" w:color="DADCE0"/>
        </w:pBdr>
        <w:spacing w:before="80" w:after="80"/>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771"/>
        <w:gridCol w:w="472"/>
        <w:gridCol w:w="472"/>
        <w:gridCol w:w="472"/>
        <w:gridCol w:w="472"/>
        <w:gridCol w:w="472"/>
        <w:gridCol w:w="850"/>
        <w:gridCol w:w="590"/>
      </w:tblGrid>
      <w:tr w:rsidR="00F85940" w14:paraId="0A10E315" w14:textId="77777777" w:rsidTr="004A5EB4">
        <w:trPr>
          <w:jc w:val="center"/>
        </w:trPr>
        <w:tc>
          <w:tcPr>
            <w:tcW w:w="1771" w:type="dxa"/>
            <w:shd w:val="clear" w:color="auto" w:fill="ECECEC"/>
          </w:tcPr>
          <w:p w14:paraId="466474F2" w14:textId="77777777" w:rsidR="00F85940" w:rsidRDefault="00F85940" w:rsidP="004A5EB4">
            <w:r>
              <w:rPr>
                <w:rFonts w:ascii="Times New Roman" w:hAnsi="Times New Roman"/>
                <w:b/>
                <w:sz w:val="19"/>
              </w:rPr>
              <w:t xml:space="preserve">Soru </w:t>
            </w:r>
            <w:proofErr w:type="spellStart"/>
            <w:r>
              <w:rPr>
                <w:rFonts w:ascii="Times New Roman" w:hAnsi="Times New Roman"/>
                <w:b/>
                <w:sz w:val="19"/>
              </w:rPr>
              <w:t>Boyutu</w:t>
            </w:r>
            <w:proofErr w:type="spellEnd"/>
          </w:p>
        </w:tc>
        <w:tc>
          <w:tcPr>
            <w:tcW w:w="472" w:type="dxa"/>
            <w:shd w:val="clear" w:color="auto" w:fill="ECECEC"/>
          </w:tcPr>
          <w:p w14:paraId="16E73731" w14:textId="77777777" w:rsidR="00F85940" w:rsidRDefault="00F85940" w:rsidP="004A5EB4">
            <w:r>
              <w:rPr>
                <w:rFonts w:ascii="Times New Roman" w:hAnsi="Times New Roman"/>
                <w:b/>
                <w:sz w:val="19"/>
              </w:rPr>
              <w:t>1</w:t>
            </w:r>
          </w:p>
        </w:tc>
        <w:tc>
          <w:tcPr>
            <w:tcW w:w="472" w:type="dxa"/>
            <w:shd w:val="clear" w:color="auto" w:fill="ECECEC"/>
          </w:tcPr>
          <w:p w14:paraId="3F3D0D05" w14:textId="77777777" w:rsidR="00F85940" w:rsidRDefault="00F85940" w:rsidP="004A5EB4">
            <w:r>
              <w:rPr>
                <w:rFonts w:ascii="Times New Roman" w:hAnsi="Times New Roman"/>
                <w:b/>
                <w:sz w:val="19"/>
              </w:rPr>
              <w:t>2</w:t>
            </w:r>
          </w:p>
        </w:tc>
        <w:tc>
          <w:tcPr>
            <w:tcW w:w="472" w:type="dxa"/>
            <w:shd w:val="clear" w:color="auto" w:fill="ECECEC"/>
          </w:tcPr>
          <w:p w14:paraId="242957D4" w14:textId="77777777" w:rsidR="00F85940" w:rsidRDefault="00F85940" w:rsidP="004A5EB4">
            <w:r>
              <w:rPr>
                <w:rFonts w:ascii="Times New Roman" w:hAnsi="Times New Roman"/>
                <w:b/>
                <w:sz w:val="19"/>
              </w:rPr>
              <w:t>3</w:t>
            </w:r>
          </w:p>
        </w:tc>
        <w:tc>
          <w:tcPr>
            <w:tcW w:w="472" w:type="dxa"/>
            <w:shd w:val="clear" w:color="auto" w:fill="ECECEC"/>
          </w:tcPr>
          <w:p w14:paraId="611B1FC7" w14:textId="77777777" w:rsidR="00F85940" w:rsidRDefault="00F85940" w:rsidP="004A5EB4">
            <w:r>
              <w:rPr>
                <w:rFonts w:ascii="Times New Roman" w:hAnsi="Times New Roman"/>
                <w:b/>
                <w:sz w:val="19"/>
              </w:rPr>
              <w:t>4</w:t>
            </w:r>
          </w:p>
        </w:tc>
        <w:tc>
          <w:tcPr>
            <w:tcW w:w="472" w:type="dxa"/>
            <w:shd w:val="clear" w:color="auto" w:fill="ECECEC"/>
          </w:tcPr>
          <w:p w14:paraId="689F053C" w14:textId="77777777" w:rsidR="00F85940" w:rsidRDefault="00F85940" w:rsidP="004A5EB4">
            <w:r>
              <w:rPr>
                <w:rFonts w:ascii="Times New Roman" w:hAnsi="Times New Roman"/>
                <w:b/>
                <w:sz w:val="19"/>
              </w:rPr>
              <w:t>5</w:t>
            </w:r>
          </w:p>
        </w:tc>
        <w:tc>
          <w:tcPr>
            <w:tcW w:w="590" w:type="dxa"/>
            <w:shd w:val="clear" w:color="auto" w:fill="ECECEC"/>
          </w:tcPr>
          <w:p w14:paraId="3798B6E0" w14:textId="77777777" w:rsidR="00F85940" w:rsidRDefault="00F85940" w:rsidP="004A5EB4">
            <w:proofErr w:type="spellStart"/>
            <w:r>
              <w:rPr>
                <w:rFonts w:ascii="Times New Roman" w:hAnsi="Times New Roman"/>
                <w:b/>
                <w:sz w:val="19"/>
              </w:rPr>
              <w:t>Toplam</w:t>
            </w:r>
            <w:proofErr w:type="spellEnd"/>
          </w:p>
        </w:tc>
        <w:tc>
          <w:tcPr>
            <w:tcW w:w="590" w:type="dxa"/>
            <w:shd w:val="clear" w:color="auto" w:fill="ECECEC"/>
          </w:tcPr>
          <w:p w14:paraId="78AC6E50" w14:textId="77777777" w:rsidR="00F85940" w:rsidRDefault="00F85940" w:rsidP="004A5EB4">
            <w:r>
              <w:rPr>
                <w:rFonts w:ascii="Times New Roman" w:hAnsi="Times New Roman"/>
                <w:b/>
                <w:sz w:val="19"/>
              </w:rPr>
              <w:t>Ort.</w:t>
            </w:r>
          </w:p>
        </w:tc>
      </w:tr>
      <w:tr w:rsidR="00F85940" w14:paraId="3F7C26DE" w14:textId="77777777" w:rsidTr="004A5EB4">
        <w:trPr>
          <w:jc w:val="center"/>
        </w:trPr>
        <w:tc>
          <w:tcPr>
            <w:tcW w:w="1771" w:type="dxa"/>
          </w:tcPr>
          <w:p w14:paraId="44E46562" w14:textId="77777777" w:rsidR="00F85940" w:rsidRDefault="00F85940" w:rsidP="004A5EB4">
            <w:r>
              <w:rPr>
                <w:rFonts w:ascii="Times New Roman" w:hAnsi="Times New Roman"/>
                <w:b/>
                <w:sz w:val="18"/>
              </w:rPr>
              <w:t xml:space="preserve">Genel </w:t>
            </w:r>
            <w:proofErr w:type="spellStart"/>
            <w:r>
              <w:rPr>
                <w:rFonts w:ascii="Times New Roman" w:hAnsi="Times New Roman"/>
                <w:b/>
                <w:sz w:val="18"/>
              </w:rPr>
              <w:t>İçerik</w:t>
            </w:r>
            <w:proofErr w:type="spellEnd"/>
            <w:r>
              <w:rPr>
                <w:rFonts w:ascii="Times New Roman" w:hAnsi="Times New Roman"/>
                <w:b/>
                <w:sz w:val="18"/>
              </w:rPr>
              <w:t xml:space="preserve"> </w:t>
            </w:r>
            <w:proofErr w:type="spellStart"/>
            <w:r>
              <w:rPr>
                <w:rFonts w:ascii="Times New Roman" w:hAnsi="Times New Roman"/>
                <w:b/>
                <w:sz w:val="18"/>
              </w:rPr>
              <w:t>Memnuniyeti</w:t>
            </w:r>
            <w:proofErr w:type="spellEnd"/>
          </w:p>
        </w:tc>
        <w:tc>
          <w:tcPr>
            <w:tcW w:w="472" w:type="dxa"/>
          </w:tcPr>
          <w:p w14:paraId="091248C1" w14:textId="77777777" w:rsidR="00F85940" w:rsidRDefault="00F85940" w:rsidP="004A5EB4">
            <w:pPr>
              <w:jc w:val="center"/>
            </w:pPr>
            <w:r>
              <w:rPr>
                <w:rFonts w:ascii="Times New Roman" w:hAnsi="Times New Roman"/>
                <w:sz w:val="19"/>
              </w:rPr>
              <w:t>0</w:t>
            </w:r>
          </w:p>
        </w:tc>
        <w:tc>
          <w:tcPr>
            <w:tcW w:w="472" w:type="dxa"/>
          </w:tcPr>
          <w:p w14:paraId="1D7DDA06" w14:textId="77777777" w:rsidR="00F85940" w:rsidRDefault="00F85940" w:rsidP="004A5EB4">
            <w:pPr>
              <w:jc w:val="center"/>
            </w:pPr>
            <w:r>
              <w:rPr>
                <w:rFonts w:ascii="Times New Roman" w:hAnsi="Times New Roman"/>
                <w:sz w:val="19"/>
              </w:rPr>
              <w:t>0</w:t>
            </w:r>
          </w:p>
        </w:tc>
        <w:tc>
          <w:tcPr>
            <w:tcW w:w="472" w:type="dxa"/>
          </w:tcPr>
          <w:p w14:paraId="0021DDB8" w14:textId="77777777" w:rsidR="00F85940" w:rsidRDefault="00F85940" w:rsidP="004A5EB4">
            <w:pPr>
              <w:jc w:val="center"/>
            </w:pPr>
            <w:r>
              <w:rPr>
                <w:rFonts w:ascii="Times New Roman" w:hAnsi="Times New Roman"/>
                <w:sz w:val="19"/>
              </w:rPr>
              <w:t>3</w:t>
            </w:r>
          </w:p>
        </w:tc>
        <w:tc>
          <w:tcPr>
            <w:tcW w:w="472" w:type="dxa"/>
          </w:tcPr>
          <w:p w14:paraId="2E437E89" w14:textId="77777777" w:rsidR="00F85940" w:rsidRDefault="00F85940" w:rsidP="004A5EB4">
            <w:pPr>
              <w:jc w:val="center"/>
            </w:pPr>
            <w:r>
              <w:rPr>
                <w:rFonts w:ascii="Times New Roman" w:hAnsi="Times New Roman"/>
                <w:sz w:val="19"/>
              </w:rPr>
              <w:t>14</w:t>
            </w:r>
          </w:p>
        </w:tc>
        <w:tc>
          <w:tcPr>
            <w:tcW w:w="472" w:type="dxa"/>
          </w:tcPr>
          <w:p w14:paraId="6E5A2B6E" w14:textId="77777777" w:rsidR="00F85940" w:rsidRDefault="00F85940" w:rsidP="004A5EB4">
            <w:pPr>
              <w:jc w:val="center"/>
            </w:pPr>
            <w:r>
              <w:rPr>
                <w:rFonts w:ascii="Times New Roman" w:hAnsi="Times New Roman"/>
                <w:sz w:val="19"/>
              </w:rPr>
              <w:t>15</w:t>
            </w:r>
          </w:p>
        </w:tc>
        <w:tc>
          <w:tcPr>
            <w:tcW w:w="590" w:type="dxa"/>
          </w:tcPr>
          <w:p w14:paraId="14410523" w14:textId="77777777" w:rsidR="00F85940" w:rsidRDefault="00F85940" w:rsidP="004A5EB4">
            <w:pPr>
              <w:jc w:val="center"/>
            </w:pPr>
            <w:r>
              <w:rPr>
                <w:rFonts w:ascii="Times New Roman" w:hAnsi="Times New Roman"/>
                <w:sz w:val="19"/>
              </w:rPr>
              <w:t>32</w:t>
            </w:r>
          </w:p>
        </w:tc>
        <w:tc>
          <w:tcPr>
            <w:tcW w:w="590" w:type="dxa"/>
          </w:tcPr>
          <w:p w14:paraId="1D6ED207" w14:textId="77777777" w:rsidR="00F85940" w:rsidRDefault="00F85940" w:rsidP="004A5EB4">
            <w:pPr>
              <w:jc w:val="center"/>
            </w:pPr>
            <w:r>
              <w:rPr>
                <w:rFonts w:ascii="Times New Roman" w:hAnsi="Times New Roman"/>
                <w:b/>
                <w:sz w:val="19"/>
              </w:rPr>
              <w:t>4.50</w:t>
            </w:r>
          </w:p>
        </w:tc>
      </w:tr>
      <w:tr w:rsidR="00F85940" w14:paraId="502A9405" w14:textId="77777777" w:rsidTr="004A5EB4">
        <w:trPr>
          <w:jc w:val="center"/>
        </w:trPr>
        <w:tc>
          <w:tcPr>
            <w:tcW w:w="1771" w:type="dxa"/>
          </w:tcPr>
          <w:p w14:paraId="18EBE1B3" w14:textId="77777777" w:rsidR="00F85940" w:rsidRDefault="00F85940" w:rsidP="004A5EB4">
            <w:proofErr w:type="spellStart"/>
            <w:r>
              <w:rPr>
                <w:rFonts w:ascii="Times New Roman" w:hAnsi="Times New Roman"/>
                <w:b/>
                <w:sz w:val="18"/>
              </w:rPr>
              <w:t>Kariyer</w:t>
            </w:r>
            <w:proofErr w:type="spellEnd"/>
            <w:r>
              <w:rPr>
                <w:rFonts w:ascii="Times New Roman" w:hAnsi="Times New Roman"/>
                <w:b/>
                <w:sz w:val="18"/>
              </w:rPr>
              <w:t>/</w:t>
            </w:r>
            <w:proofErr w:type="spellStart"/>
            <w:r>
              <w:rPr>
                <w:rFonts w:ascii="Times New Roman" w:hAnsi="Times New Roman"/>
                <w:b/>
                <w:sz w:val="18"/>
              </w:rPr>
              <w:t>Kişisel</w:t>
            </w:r>
            <w:proofErr w:type="spellEnd"/>
            <w:r>
              <w:rPr>
                <w:rFonts w:ascii="Times New Roman" w:hAnsi="Times New Roman"/>
                <w:b/>
                <w:sz w:val="18"/>
              </w:rPr>
              <w:t xml:space="preserve"> </w:t>
            </w:r>
            <w:proofErr w:type="spellStart"/>
            <w:r>
              <w:rPr>
                <w:rFonts w:ascii="Times New Roman" w:hAnsi="Times New Roman"/>
                <w:b/>
                <w:sz w:val="18"/>
              </w:rPr>
              <w:t>Gelişim</w:t>
            </w:r>
            <w:proofErr w:type="spellEnd"/>
            <w:r>
              <w:rPr>
                <w:rFonts w:ascii="Times New Roman" w:hAnsi="Times New Roman"/>
                <w:b/>
                <w:sz w:val="18"/>
              </w:rPr>
              <w:t xml:space="preserve"> </w:t>
            </w:r>
            <w:proofErr w:type="spellStart"/>
            <w:r>
              <w:rPr>
                <w:rFonts w:ascii="Times New Roman" w:hAnsi="Times New Roman"/>
                <w:b/>
                <w:sz w:val="18"/>
              </w:rPr>
              <w:t>Katkısı</w:t>
            </w:r>
            <w:proofErr w:type="spellEnd"/>
          </w:p>
        </w:tc>
        <w:tc>
          <w:tcPr>
            <w:tcW w:w="472" w:type="dxa"/>
          </w:tcPr>
          <w:p w14:paraId="2C3E5BB5" w14:textId="77777777" w:rsidR="00F85940" w:rsidRDefault="00F85940" w:rsidP="004A5EB4">
            <w:pPr>
              <w:jc w:val="center"/>
            </w:pPr>
            <w:r>
              <w:rPr>
                <w:rFonts w:ascii="Times New Roman" w:hAnsi="Times New Roman"/>
                <w:sz w:val="19"/>
              </w:rPr>
              <w:t>0</w:t>
            </w:r>
          </w:p>
        </w:tc>
        <w:tc>
          <w:tcPr>
            <w:tcW w:w="472" w:type="dxa"/>
          </w:tcPr>
          <w:p w14:paraId="6F50F3C3" w14:textId="77777777" w:rsidR="00F85940" w:rsidRDefault="00F85940" w:rsidP="004A5EB4">
            <w:pPr>
              <w:jc w:val="center"/>
            </w:pPr>
            <w:r>
              <w:rPr>
                <w:rFonts w:ascii="Times New Roman" w:hAnsi="Times New Roman"/>
                <w:sz w:val="19"/>
              </w:rPr>
              <w:t>0</w:t>
            </w:r>
          </w:p>
        </w:tc>
        <w:tc>
          <w:tcPr>
            <w:tcW w:w="472" w:type="dxa"/>
          </w:tcPr>
          <w:p w14:paraId="0FA464D9" w14:textId="77777777" w:rsidR="00F85940" w:rsidRDefault="00F85940" w:rsidP="004A5EB4">
            <w:pPr>
              <w:jc w:val="center"/>
            </w:pPr>
            <w:r>
              <w:rPr>
                <w:rFonts w:ascii="Times New Roman" w:hAnsi="Times New Roman"/>
                <w:sz w:val="19"/>
              </w:rPr>
              <w:t>2</w:t>
            </w:r>
          </w:p>
        </w:tc>
        <w:tc>
          <w:tcPr>
            <w:tcW w:w="472" w:type="dxa"/>
          </w:tcPr>
          <w:p w14:paraId="30BD869D" w14:textId="77777777" w:rsidR="00F85940" w:rsidRDefault="00F85940" w:rsidP="004A5EB4">
            <w:pPr>
              <w:jc w:val="center"/>
            </w:pPr>
            <w:r>
              <w:rPr>
                <w:rFonts w:ascii="Times New Roman" w:hAnsi="Times New Roman"/>
                <w:sz w:val="19"/>
              </w:rPr>
              <w:t>16</w:t>
            </w:r>
          </w:p>
        </w:tc>
        <w:tc>
          <w:tcPr>
            <w:tcW w:w="472" w:type="dxa"/>
          </w:tcPr>
          <w:p w14:paraId="71E20E32" w14:textId="77777777" w:rsidR="00F85940" w:rsidRDefault="00F85940" w:rsidP="004A5EB4">
            <w:pPr>
              <w:jc w:val="center"/>
            </w:pPr>
            <w:r>
              <w:rPr>
                <w:rFonts w:ascii="Times New Roman" w:hAnsi="Times New Roman"/>
                <w:sz w:val="19"/>
              </w:rPr>
              <w:t>14</w:t>
            </w:r>
          </w:p>
        </w:tc>
        <w:tc>
          <w:tcPr>
            <w:tcW w:w="590" w:type="dxa"/>
          </w:tcPr>
          <w:p w14:paraId="08479A37" w14:textId="77777777" w:rsidR="00F85940" w:rsidRDefault="00F85940" w:rsidP="004A5EB4">
            <w:pPr>
              <w:jc w:val="center"/>
            </w:pPr>
            <w:r>
              <w:rPr>
                <w:rFonts w:ascii="Times New Roman" w:hAnsi="Times New Roman"/>
                <w:sz w:val="19"/>
              </w:rPr>
              <w:t>32</w:t>
            </w:r>
          </w:p>
        </w:tc>
        <w:tc>
          <w:tcPr>
            <w:tcW w:w="590" w:type="dxa"/>
          </w:tcPr>
          <w:p w14:paraId="3DF3E1CF" w14:textId="77777777" w:rsidR="00F85940" w:rsidRDefault="00F85940" w:rsidP="004A5EB4">
            <w:pPr>
              <w:jc w:val="center"/>
            </w:pPr>
            <w:r>
              <w:rPr>
                <w:rFonts w:ascii="Times New Roman" w:hAnsi="Times New Roman"/>
                <w:b/>
                <w:sz w:val="19"/>
              </w:rPr>
              <w:t>4.40</w:t>
            </w:r>
          </w:p>
        </w:tc>
      </w:tr>
      <w:tr w:rsidR="00F85940" w14:paraId="18A1FEB1" w14:textId="77777777" w:rsidTr="004A5EB4">
        <w:trPr>
          <w:jc w:val="center"/>
        </w:trPr>
        <w:tc>
          <w:tcPr>
            <w:tcW w:w="1771" w:type="dxa"/>
          </w:tcPr>
          <w:p w14:paraId="0C7D6B25" w14:textId="77777777" w:rsidR="00F85940" w:rsidRDefault="00F85940" w:rsidP="004A5EB4">
            <w:proofErr w:type="spellStart"/>
            <w:r>
              <w:rPr>
                <w:rFonts w:ascii="Times New Roman" w:hAnsi="Times New Roman"/>
                <w:b/>
                <w:sz w:val="18"/>
              </w:rPr>
              <w:t>Konuşmacı</w:t>
            </w:r>
            <w:proofErr w:type="spellEnd"/>
            <w:r>
              <w:rPr>
                <w:rFonts w:ascii="Times New Roman" w:hAnsi="Times New Roman"/>
                <w:b/>
                <w:sz w:val="18"/>
              </w:rPr>
              <w:t>/</w:t>
            </w:r>
            <w:proofErr w:type="spellStart"/>
            <w:r>
              <w:rPr>
                <w:rFonts w:ascii="Times New Roman" w:hAnsi="Times New Roman"/>
                <w:b/>
                <w:sz w:val="18"/>
              </w:rPr>
              <w:t>Sunum</w:t>
            </w:r>
            <w:proofErr w:type="spellEnd"/>
            <w:r>
              <w:rPr>
                <w:rFonts w:ascii="Times New Roman" w:hAnsi="Times New Roman"/>
                <w:b/>
                <w:sz w:val="18"/>
              </w:rPr>
              <w:t xml:space="preserve"> </w:t>
            </w:r>
            <w:proofErr w:type="spellStart"/>
            <w:r>
              <w:rPr>
                <w:rFonts w:ascii="Times New Roman" w:hAnsi="Times New Roman"/>
                <w:b/>
                <w:sz w:val="18"/>
              </w:rPr>
              <w:t>Kalitesi</w:t>
            </w:r>
            <w:proofErr w:type="spellEnd"/>
          </w:p>
        </w:tc>
        <w:tc>
          <w:tcPr>
            <w:tcW w:w="472" w:type="dxa"/>
          </w:tcPr>
          <w:p w14:paraId="4284306D" w14:textId="77777777" w:rsidR="00F85940" w:rsidRDefault="00F85940" w:rsidP="004A5EB4">
            <w:pPr>
              <w:jc w:val="center"/>
            </w:pPr>
            <w:r>
              <w:rPr>
                <w:rFonts w:ascii="Times New Roman" w:hAnsi="Times New Roman"/>
                <w:sz w:val="19"/>
              </w:rPr>
              <w:t>0</w:t>
            </w:r>
          </w:p>
        </w:tc>
        <w:tc>
          <w:tcPr>
            <w:tcW w:w="472" w:type="dxa"/>
          </w:tcPr>
          <w:p w14:paraId="64429219" w14:textId="77777777" w:rsidR="00F85940" w:rsidRDefault="00F85940" w:rsidP="004A5EB4">
            <w:pPr>
              <w:jc w:val="center"/>
            </w:pPr>
            <w:r>
              <w:rPr>
                <w:rFonts w:ascii="Times New Roman" w:hAnsi="Times New Roman"/>
                <w:sz w:val="19"/>
              </w:rPr>
              <w:t>0</w:t>
            </w:r>
          </w:p>
        </w:tc>
        <w:tc>
          <w:tcPr>
            <w:tcW w:w="472" w:type="dxa"/>
          </w:tcPr>
          <w:p w14:paraId="68EBB461" w14:textId="77777777" w:rsidR="00F85940" w:rsidRDefault="00F85940" w:rsidP="004A5EB4">
            <w:pPr>
              <w:jc w:val="center"/>
            </w:pPr>
            <w:r>
              <w:rPr>
                <w:rFonts w:ascii="Times New Roman" w:hAnsi="Times New Roman"/>
                <w:sz w:val="19"/>
              </w:rPr>
              <w:t>0</w:t>
            </w:r>
          </w:p>
        </w:tc>
        <w:tc>
          <w:tcPr>
            <w:tcW w:w="472" w:type="dxa"/>
          </w:tcPr>
          <w:p w14:paraId="3573CB46" w14:textId="77777777" w:rsidR="00F85940" w:rsidRDefault="00F85940" w:rsidP="004A5EB4">
            <w:pPr>
              <w:jc w:val="center"/>
            </w:pPr>
            <w:r>
              <w:rPr>
                <w:rFonts w:ascii="Times New Roman" w:hAnsi="Times New Roman"/>
                <w:sz w:val="19"/>
              </w:rPr>
              <w:t>19</w:t>
            </w:r>
          </w:p>
        </w:tc>
        <w:tc>
          <w:tcPr>
            <w:tcW w:w="472" w:type="dxa"/>
          </w:tcPr>
          <w:p w14:paraId="364A14B2" w14:textId="77777777" w:rsidR="00F85940" w:rsidRDefault="00F85940" w:rsidP="004A5EB4">
            <w:pPr>
              <w:jc w:val="center"/>
            </w:pPr>
            <w:r>
              <w:rPr>
                <w:rFonts w:ascii="Times New Roman" w:hAnsi="Times New Roman"/>
                <w:sz w:val="19"/>
              </w:rPr>
              <w:t>13</w:t>
            </w:r>
          </w:p>
        </w:tc>
        <w:tc>
          <w:tcPr>
            <w:tcW w:w="590" w:type="dxa"/>
          </w:tcPr>
          <w:p w14:paraId="5308C974" w14:textId="77777777" w:rsidR="00F85940" w:rsidRDefault="00F85940" w:rsidP="004A5EB4">
            <w:pPr>
              <w:jc w:val="center"/>
            </w:pPr>
            <w:r>
              <w:rPr>
                <w:rFonts w:ascii="Times New Roman" w:hAnsi="Times New Roman"/>
                <w:sz w:val="19"/>
              </w:rPr>
              <w:t>32</w:t>
            </w:r>
          </w:p>
        </w:tc>
        <w:tc>
          <w:tcPr>
            <w:tcW w:w="590" w:type="dxa"/>
          </w:tcPr>
          <w:p w14:paraId="13254A59" w14:textId="77777777" w:rsidR="00F85940" w:rsidRDefault="00F85940" w:rsidP="004A5EB4">
            <w:pPr>
              <w:jc w:val="center"/>
            </w:pPr>
            <w:r>
              <w:rPr>
                <w:rFonts w:ascii="Times New Roman" w:hAnsi="Times New Roman"/>
                <w:b/>
                <w:sz w:val="19"/>
              </w:rPr>
              <w:t>4.60</w:t>
            </w:r>
          </w:p>
        </w:tc>
      </w:tr>
      <w:tr w:rsidR="00F85940" w14:paraId="39B3A88E" w14:textId="77777777" w:rsidTr="004A5EB4">
        <w:trPr>
          <w:jc w:val="center"/>
        </w:trPr>
        <w:tc>
          <w:tcPr>
            <w:tcW w:w="1771" w:type="dxa"/>
          </w:tcPr>
          <w:p w14:paraId="19B49549" w14:textId="77777777" w:rsidR="00F85940" w:rsidRDefault="00F85940" w:rsidP="004A5EB4">
            <w:proofErr w:type="spellStart"/>
            <w:r>
              <w:rPr>
                <w:rFonts w:ascii="Times New Roman" w:hAnsi="Times New Roman"/>
                <w:b/>
                <w:sz w:val="18"/>
              </w:rPr>
              <w:t>Organizasyon</w:t>
            </w:r>
            <w:proofErr w:type="spellEnd"/>
            <w:r>
              <w:rPr>
                <w:rFonts w:ascii="Times New Roman" w:hAnsi="Times New Roman"/>
                <w:b/>
                <w:sz w:val="18"/>
              </w:rPr>
              <w:t xml:space="preserve"> </w:t>
            </w:r>
            <w:proofErr w:type="spellStart"/>
            <w:r>
              <w:rPr>
                <w:rFonts w:ascii="Times New Roman" w:hAnsi="Times New Roman"/>
                <w:b/>
                <w:sz w:val="18"/>
              </w:rPr>
              <w:t>Düzeyi</w:t>
            </w:r>
            <w:proofErr w:type="spellEnd"/>
          </w:p>
        </w:tc>
        <w:tc>
          <w:tcPr>
            <w:tcW w:w="472" w:type="dxa"/>
          </w:tcPr>
          <w:p w14:paraId="3FCFC1D9" w14:textId="77777777" w:rsidR="00F85940" w:rsidRDefault="00F85940" w:rsidP="004A5EB4">
            <w:pPr>
              <w:jc w:val="center"/>
            </w:pPr>
            <w:r>
              <w:rPr>
                <w:rFonts w:ascii="Times New Roman" w:hAnsi="Times New Roman"/>
                <w:sz w:val="19"/>
              </w:rPr>
              <w:t>0</w:t>
            </w:r>
          </w:p>
        </w:tc>
        <w:tc>
          <w:tcPr>
            <w:tcW w:w="472" w:type="dxa"/>
          </w:tcPr>
          <w:p w14:paraId="204C81BE" w14:textId="77777777" w:rsidR="00F85940" w:rsidRDefault="00F85940" w:rsidP="004A5EB4">
            <w:pPr>
              <w:jc w:val="center"/>
            </w:pPr>
            <w:r>
              <w:rPr>
                <w:rFonts w:ascii="Times New Roman" w:hAnsi="Times New Roman"/>
                <w:sz w:val="19"/>
              </w:rPr>
              <w:t>0</w:t>
            </w:r>
          </w:p>
        </w:tc>
        <w:tc>
          <w:tcPr>
            <w:tcW w:w="472" w:type="dxa"/>
          </w:tcPr>
          <w:p w14:paraId="321A1CAF" w14:textId="77777777" w:rsidR="00F85940" w:rsidRDefault="00F85940" w:rsidP="004A5EB4">
            <w:pPr>
              <w:jc w:val="center"/>
            </w:pPr>
            <w:r>
              <w:rPr>
                <w:rFonts w:ascii="Times New Roman" w:hAnsi="Times New Roman"/>
                <w:sz w:val="19"/>
              </w:rPr>
              <w:t>3</w:t>
            </w:r>
          </w:p>
        </w:tc>
        <w:tc>
          <w:tcPr>
            <w:tcW w:w="472" w:type="dxa"/>
          </w:tcPr>
          <w:p w14:paraId="2ECB2411" w14:textId="77777777" w:rsidR="00F85940" w:rsidRDefault="00F85940" w:rsidP="004A5EB4">
            <w:pPr>
              <w:jc w:val="center"/>
            </w:pPr>
            <w:r>
              <w:rPr>
                <w:rFonts w:ascii="Times New Roman" w:hAnsi="Times New Roman"/>
                <w:sz w:val="19"/>
              </w:rPr>
              <w:t>13</w:t>
            </w:r>
          </w:p>
        </w:tc>
        <w:tc>
          <w:tcPr>
            <w:tcW w:w="472" w:type="dxa"/>
          </w:tcPr>
          <w:p w14:paraId="42336662" w14:textId="77777777" w:rsidR="00F85940" w:rsidRDefault="00F85940" w:rsidP="004A5EB4">
            <w:pPr>
              <w:jc w:val="center"/>
            </w:pPr>
            <w:r>
              <w:rPr>
                <w:rFonts w:ascii="Times New Roman" w:hAnsi="Times New Roman"/>
                <w:sz w:val="19"/>
              </w:rPr>
              <w:t>16</w:t>
            </w:r>
          </w:p>
        </w:tc>
        <w:tc>
          <w:tcPr>
            <w:tcW w:w="590" w:type="dxa"/>
          </w:tcPr>
          <w:p w14:paraId="48EB9F02" w14:textId="77777777" w:rsidR="00F85940" w:rsidRDefault="00F85940" w:rsidP="004A5EB4">
            <w:pPr>
              <w:jc w:val="center"/>
            </w:pPr>
            <w:r>
              <w:rPr>
                <w:rFonts w:ascii="Times New Roman" w:hAnsi="Times New Roman"/>
                <w:sz w:val="19"/>
              </w:rPr>
              <w:t>32</w:t>
            </w:r>
          </w:p>
        </w:tc>
        <w:tc>
          <w:tcPr>
            <w:tcW w:w="590" w:type="dxa"/>
          </w:tcPr>
          <w:p w14:paraId="123FEEAA" w14:textId="77777777" w:rsidR="00F85940" w:rsidRDefault="00F85940" w:rsidP="004A5EB4">
            <w:pPr>
              <w:jc w:val="center"/>
            </w:pPr>
            <w:r>
              <w:rPr>
                <w:rFonts w:ascii="Times New Roman" w:hAnsi="Times New Roman"/>
                <w:b/>
                <w:sz w:val="19"/>
              </w:rPr>
              <w:t>4.31</w:t>
            </w:r>
          </w:p>
        </w:tc>
      </w:tr>
      <w:tr w:rsidR="00F85940" w14:paraId="33DD18D2" w14:textId="77777777" w:rsidTr="004A5EB4">
        <w:trPr>
          <w:jc w:val="center"/>
        </w:trPr>
        <w:tc>
          <w:tcPr>
            <w:tcW w:w="1771" w:type="dxa"/>
          </w:tcPr>
          <w:p w14:paraId="3C561D4A" w14:textId="77777777" w:rsidR="00F85940" w:rsidRDefault="00F85940" w:rsidP="004A5EB4">
            <w:r>
              <w:rPr>
                <w:rFonts w:ascii="Times New Roman" w:hAnsi="Times New Roman"/>
                <w:b/>
                <w:sz w:val="18"/>
              </w:rPr>
              <w:t xml:space="preserve">Genel </w:t>
            </w:r>
            <w:proofErr w:type="spellStart"/>
            <w:r>
              <w:rPr>
                <w:rFonts w:ascii="Times New Roman" w:hAnsi="Times New Roman"/>
                <w:b/>
                <w:sz w:val="18"/>
              </w:rPr>
              <w:t>Memnuniyet</w:t>
            </w:r>
            <w:proofErr w:type="spellEnd"/>
            <w:r>
              <w:rPr>
                <w:rFonts w:ascii="Times New Roman" w:hAnsi="Times New Roman"/>
                <w:b/>
                <w:sz w:val="18"/>
              </w:rPr>
              <w:t xml:space="preserve"> </w:t>
            </w:r>
            <w:proofErr w:type="spellStart"/>
            <w:r>
              <w:rPr>
                <w:rFonts w:ascii="Times New Roman" w:hAnsi="Times New Roman"/>
                <w:b/>
                <w:sz w:val="18"/>
              </w:rPr>
              <w:t>ve</w:t>
            </w:r>
            <w:proofErr w:type="spellEnd"/>
            <w:r>
              <w:rPr>
                <w:rFonts w:ascii="Times New Roman" w:hAnsi="Times New Roman"/>
                <w:b/>
                <w:sz w:val="18"/>
              </w:rPr>
              <w:t xml:space="preserve"> </w:t>
            </w:r>
            <w:proofErr w:type="spellStart"/>
            <w:r>
              <w:rPr>
                <w:rFonts w:ascii="Times New Roman" w:hAnsi="Times New Roman"/>
                <w:b/>
                <w:sz w:val="18"/>
              </w:rPr>
              <w:t>Yeniden</w:t>
            </w:r>
            <w:proofErr w:type="spellEnd"/>
            <w:r>
              <w:rPr>
                <w:rFonts w:ascii="Times New Roman" w:hAnsi="Times New Roman"/>
                <w:b/>
                <w:sz w:val="18"/>
              </w:rPr>
              <w:t xml:space="preserve"> </w:t>
            </w:r>
            <w:proofErr w:type="spellStart"/>
            <w:r>
              <w:rPr>
                <w:rFonts w:ascii="Times New Roman" w:hAnsi="Times New Roman"/>
                <w:b/>
                <w:sz w:val="18"/>
              </w:rPr>
              <w:t>Katılım</w:t>
            </w:r>
            <w:proofErr w:type="spellEnd"/>
            <w:r>
              <w:rPr>
                <w:rFonts w:ascii="Times New Roman" w:hAnsi="Times New Roman"/>
                <w:b/>
                <w:sz w:val="18"/>
              </w:rPr>
              <w:t xml:space="preserve"> </w:t>
            </w:r>
            <w:proofErr w:type="spellStart"/>
            <w:r>
              <w:rPr>
                <w:rFonts w:ascii="Times New Roman" w:hAnsi="Times New Roman"/>
                <w:b/>
                <w:sz w:val="18"/>
              </w:rPr>
              <w:t>İsteği</w:t>
            </w:r>
            <w:proofErr w:type="spellEnd"/>
          </w:p>
        </w:tc>
        <w:tc>
          <w:tcPr>
            <w:tcW w:w="472" w:type="dxa"/>
          </w:tcPr>
          <w:p w14:paraId="4EAE6138" w14:textId="77777777" w:rsidR="00F85940" w:rsidRDefault="00F85940" w:rsidP="004A5EB4">
            <w:pPr>
              <w:jc w:val="center"/>
            </w:pPr>
            <w:r>
              <w:rPr>
                <w:rFonts w:ascii="Times New Roman" w:hAnsi="Times New Roman"/>
                <w:sz w:val="19"/>
              </w:rPr>
              <w:t>0</w:t>
            </w:r>
          </w:p>
        </w:tc>
        <w:tc>
          <w:tcPr>
            <w:tcW w:w="472" w:type="dxa"/>
          </w:tcPr>
          <w:p w14:paraId="12D48A2C" w14:textId="77777777" w:rsidR="00F85940" w:rsidRDefault="00F85940" w:rsidP="004A5EB4">
            <w:pPr>
              <w:jc w:val="center"/>
            </w:pPr>
            <w:r>
              <w:rPr>
                <w:rFonts w:ascii="Times New Roman" w:hAnsi="Times New Roman"/>
                <w:sz w:val="19"/>
              </w:rPr>
              <w:t>0</w:t>
            </w:r>
          </w:p>
        </w:tc>
        <w:tc>
          <w:tcPr>
            <w:tcW w:w="472" w:type="dxa"/>
          </w:tcPr>
          <w:p w14:paraId="7EC571E1" w14:textId="77777777" w:rsidR="00F85940" w:rsidRDefault="00F85940" w:rsidP="004A5EB4">
            <w:pPr>
              <w:jc w:val="center"/>
            </w:pPr>
            <w:r>
              <w:rPr>
                <w:rFonts w:ascii="Times New Roman" w:hAnsi="Times New Roman"/>
                <w:sz w:val="19"/>
              </w:rPr>
              <w:t>3</w:t>
            </w:r>
          </w:p>
        </w:tc>
        <w:tc>
          <w:tcPr>
            <w:tcW w:w="472" w:type="dxa"/>
          </w:tcPr>
          <w:p w14:paraId="77AEB1E8" w14:textId="77777777" w:rsidR="00F85940" w:rsidRDefault="00F85940" w:rsidP="004A5EB4">
            <w:pPr>
              <w:jc w:val="center"/>
            </w:pPr>
            <w:r>
              <w:rPr>
                <w:rFonts w:ascii="Times New Roman" w:hAnsi="Times New Roman"/>
                <w:sz w:val="19"/>
              </w:rPr>
              <w:t>15</w:t>
            </w:r>
          </w:p>
        </w:tc>
        <w:tc>
          <w:tcPr>
            <w:tcW w:w="472" w:type="dxa"/>
          </w:tcPr>
          <w:p w14:paraId="03EC0426" w14:textId="77777777" w:rsidR="00F85940" w:rsidRDefault="00F85940" w:rsidP="004A5EB4">
            <w:pPr>
              <w:jc w:val="center"/>
            </w:pPr>
            <w:r>
              <w:rPr>
                <w:rFonts w:ascii="Times New Roman" w:hAnsi="Times New Roman"/>
                <w:sz w:val="19"/>
              </w:rPr>
              <w:t>14</w:t>
            </w:r>
          </w:p>
        </w:tc>
        <w:tc>
          <w:tcPr>
            <w:tcW w:w="590" w:type="dxa"/>
          </w:tcPr>
          <w:p w14:paraId="1067EAD1" w14:textId="77777777" w:rsidR="00F85940" w:rsidRDefault="00F85940" w:rsidP="004A5EB4">
            <w:pPr>
              <w:jc w:val="center"/>
            </w:pPr>
            <w:r>
              <w:rPr>
                <w:rFonts w:ascii="Times New Roman" w:hAnsi="Times New Roman"/>
                <w:sz w:val="19"/>
              </w:rPr>
              <w:t>32</w:t>
            </w:r>
          </w:p>
        </w:tc>
        <w:tc>
          <w:tcPr>
            <w:tcW w:w="590" w:type="dxa"/>
          </w:tcPr>
          <w:p w14:paraId="7DA81290" w14:textId="77777777" w:rsidR="00F85940" w:rsidRDefault="00F85940" w:rsidP="004A5EB4">
            <w:pPr>
              <w:jc w:val="center"/>
            </w:pPr>
            <w:r>
              <w:rPr>
                <w:rFonts w:ascii="Times New Roman" w:hAnsi="Times New Roman"/>
                <w:b/>
                <w:sz w:val="19"/>
              </w:rPr>
              <w:t>4.56</w:t>
            </w:r>
          </w:p>
        </w:tc>
      </w:tr>
    </w:tbl>
    <w:p w14:paraId="345C9691" w14:textId="77777777" w:rsidR="00F85940" w:rsidRDefault="00F85940">
      <w:pPr>
        <w:pBdr>
          <w:bottom w:val="single" w:sz="4" w:space="1" w:color="DADCE0"/>
        </w:pBdr>
        <w:spacing w:before="80" w:after="80"/>
      </w:pPr>
    </w:p>
    <w:p w14:paraId="5DE19C70" w14:textId="77777777" w:rsidR="00854E07" w:rsidRDefault="00000000">
      <w:pPr>
        <w:spacing w:before="120"/>
      </w:pPr>
      <w:r>
        <w:rPr>
          <w:color w:val="5F6368"/>
          <w:sz w:val="20"/>
        </w:rPr>
        <w:t>Etkinliğe katılan tüm öğrenci ve paydaşlarımıza katkıları ve değerli geri bildirimleri için teşekkür ederiz.</w:t>
      </w:r>
    </w:p>
    <w:p w14:paraId="333B5220" w14:textId="77777777" w:rsidR="00854E07" w:rsidRDefault="00000000">
      <w:pPr>
        <w:jc w:val="right"/>
      </w:pPr>
      <w:r>
        <w:rPr>
          <w:b/>
          <w:color w:val="202124"/>
          <w:sz w:val="20"/>
        </w:rPr>
        <w:t>TORKARMER Kalite ve Akreditasyon Komisyonu</w:t>
      </w:r>
      <w:r>
        <w:rPr>
          <w:b/>
          <w:color w:val="202124"/>
          <w:sz w:val="20"/>
        </w:rPr>
        <w:br/>
        <w:t>Toros Üniversitesi Kariyer ve Araştırma Merkezi Müdürlüğü</w:t>
      </w:r>
    </w:p>
    <w:sectPr w:rsidR="00854E07"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674504276">
    <w:abstractNumId w:val="8"/>
  </w:num>
  <w:num w:numId="2" w16cid:durableId="1329795447">
    <w:abstractNumId w:val="6"/>
  </w:num>
  <w:num w:numId="3" w16cid:durableId="1498419821">
    <w:abstractNumId w:val="5"/>
  </w:num>
  <w:num w:numId="4" w16cid:durableId="1296327957">
    <w:abstractNumId w:val="4"/>
  </w:num>
  <w:num w:numId="5" w16cid:durableId="2056347519">
    <w:abstractNumId w:val="7"/>
  </w:num>
  <w:num w:numId="6" w16cid:durableId="1237320949">
    <w:abstractNumId w:val="3"/>
  </w:num>
  <w:num w:numId="7" w16cid:durableId="907346126">
    <w:abstractNumId w:val="2"/>
  </w:num>
  <w:num w:numId="8" w16cid:durableId="1842893337">
    <w:abstractNumId w:val="1"/>
  </w:num>
  <w:num w:numId="9" w16cid:durableId="168351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9639D"/>
    <w:rsid w:val="00326F90"/>
    <w:rsid w:val="00854E07"/>
    <w:rsid w:val="00AA1D8D"/>
    <w:rsid w:val="00B47730"/>
    <w:rsid w:val="00CB0664"/>
    <w:rsid w:val="00F859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01DA0"/>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2</cp:revision>
  <dcterms:created xsi:type="dcterms:W3CDTF">2013-12-23T23:15:00Z</dcterms:created>
  <dcterms:modified xsi:type="dcterms:W3CDTF">2026-05-22T12:35:00Z</dcterms:modified>
  <cp:category/>
</cp:coreProperties>
</file>