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ED6D" w14:textId="77777777" w:rsidR="005334A2" w:rsidRDefault="00000000">
      <w:pPr>
        <w:jc w:val="center"/>
      </w:pPr>
      <w:r>
        <w:rPr>
          <w:b/>
          <w:color w:val="202124"/>
          <w:sz w:val="30"/>
        </w:rPr>
        <w:t>MEZUNLAR İLE BULUŞMA ETKİNLİĞİ</w:t>
      </w:r>
    </w:p>
    <w:p w14:paraId="3F7D4F68" w14:textId="77777777" w:rsidR="005334A2" w:rsidRDefault="005334A2">
      <w:pPr>
        <w:pBdr>
          <w:bottom w:val="single" w:sz="4" w:space="1" w:color="DADCE0"/>
        </w:pBdr>
        <w:spacing w:before="80" w:after="80"/>
      </w:pPr>
    </w:p>
    <w:p w14:paraId="78BA95AD" w14:textId="77777777" w:rsidR="005334A2" w:rsidRDefault="00000000">
      <w:pPr>
        <w:spacing w:before="200" w:after="140"/>
        <w:ind w:firstLine="567"/>
      </w:pPr>
      <w:r>
        <w:rPr>
          <w:color w:val="202124"/>
        </w:rPr>
        <w:t>MEZUNLAR İLE BULUŞMA ETKİNLİĞİ, 6 Aralık 2024 tarihinde 85 katılımcının bir araya geldiği kapsamlı bir deneyim paylaşım platformu olarak hayata geçirildi. Öğrencilerin mezunlarla doğrudan temas kurarak kariyer yollarını şekillendirme istekleri üzerine planlanmıştır. Öğrencilerin mezun ağıyla bağlantı kurma ve gerçek iş hayatı deneyimlerine ulaşma talebinin yoğunluğu, bu buluşmanın önemine işaret etmektedir. Etkinlik; kariyer mentorluğu, networking ve ilham odaklı konuşmalar içeren çok boyutlu bir program çerçevesinde tasarlandı.</w:t>
      </w:r>
    </w:p>
    <w:p w14:paraId="71CD3DE7" w14:textId="77777777" w:rsidR="005334A2" w:rsidRDefault="00000000">
      <w:pPr>
        <w:spacing w:before="160" w:after="140"/>
        <w:ind w:firstLine="567"/>
      </w:pPr>
      <w:r>
        <w:rPr>
          <w:color w:val="202124"/>
        </w:rPr>
        <w:t xml:space="preserve">6 </w:t>
      </w:r>
      <w:proofErr w:type="spellStart"/>
      <w:r>
        <w:rPr>
          <w:color w:val="202124"/>
        </w:rPr>
        <w:t>Aralık</w:t>
      </w:r>
      <w:proofErr w:type="spellEnd"/>
      <w:r>
        <w:rPr>
          <w:color w:val="202124"/>
        </w:rPr>
        <w:t xml:space="preserve"> 2024 </w:t>
      </w:r>
      <w:proofErr w:type="spellStart"/>
      <w:r>
        <w:rPr>
          <w:color w:val="202124"/>
        </w:rPr>
        <w:t>tarihinde</w:t>
      </w:r>
      <w:proofErr w:type="spellEnd"/>
      <w:r>
        <w:rPr>
          <w:color w:val="202124"/>
        </w:rPr>
        <w:t xml:space="preserve"> Mezunlar Buluşması gerçekleştirilmiştir. Buluşmada mezunlar, kariyer yolculuklarının dönüm noktalarını ve iş hayatına geçiş süreçlerini içtenlikle paylaştı; hem başarı öykülerini hem de yaşadıkları güçlükleri aktararak gerçekçi bir perspektif sundu. Networking bölümünde öğrenciler mezunlarla doğrudan birebir iletişim kurma ve iletişim bilgilerini paylaşma fırsatı edindi. Mentörlük bağlantılarının bu buluşmadan doğması, etkinliğin somut bir çıktısı olarak kayda değer bir katkı olarak değerlendirildi.</w:t>
      </w:r>
    </w:p>
    <w:p w14:paraId="6DB83C2F" w14:textId="77777777" w:rsidR="005334A2" w:rsidRDefault="00000000">
      <w:pPr>
        <w:spacing w:before="160" w:after="140"/>
        <w:ind w:firstLine="567"/>
      </w:pPr>
      <w:proofErr w:type="spellStart"/>
      <w:r>
        <w:rPr>
          <w:color w:val="202124"/>
        </w:rPr>
        <w:t>Etkinliğe</w:t>
      </w:r>
      <w:proofErr w:type="spellEnd"/>
      <w:r>
        <w:rPr>
          <w:color w:val="202124"/>
        </w:rPr>
        <w:t xml:space="preserve"> </w:t>
      </w:r>
      <w:proofErr w:type="spellStart"/>
      <w:r>
        <w:rPr>
          <w:color w:val="202124"/>
        </w:rPr>
        <w:t>toplamda</w:t>
      </w:r>
      <w:proofErr w:type="spellEnd"/>
      <w:r>
        <w:rPr>
          <w:color w:val="202124"/>
        </w:rPr>
        <w:t xml:space="preserve"> 85 </w:t>
      </w:r>
      <w:proofErr w:type="spellStart"/>
      <w:r>
        <w:rPr>
          <w:color w:val="202124"/>
        </w:rPr>
        <w:t>kişi</w:t>
      </w:r>
      <w:proofErr w:type="spellEnd"/>
      <w:r>
        <w:rPr>
          <w:color w:val="202124"/>
        </w:rPr>
        <w:t xml:space="preserve"> katıldı; katılımcıların büyük çoğunluğunu 80 öğrenci oluşturdu. Etkinliğe 5 akademik/idari personel eşlik etti. Etkinlik sonrası uygulanan memnuniyet anketi, 76 katılımcı tarafından yanıtlandı (anket katılım oranı: %89). Anketin geniş bir yanıt tabanına ulaşması, değerlendirmelerin temsil gücünü artırmakta ve etkinlik kalitesine ilişkin çıkarımlara daha sağlam bir zemin oluşturmaktadır.</w:t>
      </w:r>
    </w:p>
    <w:p w14:paraId="57C6BE31" w14:textId="77777777" w:rsidR="005334A2" w:rsidRDefault="00000000">
      <w:pPr>
        <w:spacing w:before="160" w:after="140"/>
        <w:ind w:firstLine="567"/>
      </w:pPr>
      <w:proofErr w:type="spellStart"/>
      <w:r>
        <w:rPr>
          <w:color w:val="202124"/>
        </w:rPr>
        <w:t>Etkinlik</w:t>
      </w:r>
      <w:proofErr w:type="spellEnd"/>
      <w:r>
        <w:rPr>
          <w:color w:val="202124"/>
        </w:rPr>
        <w:t xml:space="preserve"> </w:t>
      </w:r>
      <w:proofErr w:type="spellStart"/>
      <w:r>
        <w:rPr>
          <w:color w:val="202124"/>
        </w:rPr>
        <w:t>içeriği</w:t>
      </w:r>
      <w:proofErr w:type="spellEnd"/>
      <w:r>
        <w:rPr>
          <w:color w:val="202124"/>
        </w:rPr>
        <w:t xml:space="preserve"> </w:t>
      </w:r>
      <w:proofErr w:type="spellStart"/>
      <w:r>
        <w:rPr>
          <w:color w:val="202124"/>
        </w:rPr>
        <w:t>iki</w:t>
      </w:r>
      <w:proofErr w:type="spellEnd"/>
      <w:r>
        <w:rPr>
          <w:color w:val="202124"/>
        </w:rPr>
        <w:t xml:space="preserve"> </w:t>
      </w:r>
      <w:proofErr w:type="spellStart"/>
      <w:r>
        <w:rPr>
          <w:color w:val="202124"/>
        </w:rPr>
        <w:t>temel</w:t>
      </w:r>
      <w:proofErr w:type="spellEnd"/>
      <w:r>
        <w:rPr>
          <w:color w:val="202124"/>
        </w:rPr>
        <w:t xml:space="preserve"> boyutta ele alındı: programın genel içerik kalitesi ve konuşmacı/eğitmen performansı. Genel içerik memnuniyeti 4.40/5.00 olarak ölçülürken, katılımcıların %93'i bu boyutta 4 veya 5 puan verdi. Konuşmacı ve sunum kalitesi ise 4.30/5.00 ortalama ile değerlendirildi; %91'si yüksek memnuniyet bildirdi. Genel içerik memnuniyetinin konuşmacı puanının üzerinde kalması, programın bütünlük ve yapısının sunum tekniğinden daha güçlü algılandığına işaret etmektedir. Her iki boyutun bütünleşik ortalaması 4.35/5.00 düzeyinde gerçekleşmesiyle içerik kalitesinin genel olarak olumlu bir değerlendirmeye konu olduğu görülmektedir. Anketlerde mezun-öğrenci mentörlük bağının kurumsallaşması ve bir veri tabanı üzerinden takip edilmesi önerileri gelmiştir.</w:t>
      </w:r>
    </w:p>
    <w:p w14:paraId="76DAEB65" w14:textId="77777777" w:rsidR="005334A2" w:rsidRDefault="00000000">
      <w:pPr>
        <w:spacing w:before="160" w:after="140"/>
        <w:ind w:firstLine="567"/>
      </w:pPr>
      <w:proofErr w:type="spellStart"/>
      <w:r>
        <w:rPr>
          <w:color w:val="202124"/>
        </w:rPr>
        <w:t>Anket</w:t>
      </w:r>
      <w:proofErr w:type="spellEnd"/>
      <w:r>
        <w:rPr>
          <w:color w:val="202124"/>
        </w:rPr>
        <w:t xml:space="preserve"> </w:t>
      </w:r>
      <w:proofErr w:type="spellStart"/>
      <w:r>
        <w:rPr>
          <w:color w:val="202124"/>
        </w:rPr>
        <w:t>verileri</w:t>
      </w:r>
      <w:proofErr w:type="spellEnd"/>
      <w:r>
        <w:rPr>
          <w:color w:val="202124"/>
        </w:rPr>
        <w:t xml:space="preserve"> </w:t>
      </w:r>
      <w:proofErr w:type="spellStart"/>
      <w:r>
        <w:rPr>
          <w:color w:val="202124"/>
        </w:rPr>
        <w:t>beş</w:t>
      </w:r>
      <w:proofErr w:type="spellEnd"/>
      <w:r>
        <w:rPr>
          <w:color w:val="202124"/>
        </w:rPr>
        <w:t xml:space="preserve"> </w:t>
      </w:r>
      <w:proofErr w:type="spellStart"/>
      <w:r>
        <w:rPr>
          <w:color w:val="202124"/>
        </w:rPr>
        <w:t>farklı</w:t>
      </w:r>
      <w:proofErr w:type="spellEnd"/>
      <w:r>
        <w:rPr>
          <w:color w:val="202124"/>
        </w:rPr>
        <w:t xml:space="preserve"> boyut üzerinden analiz edildiğinde etkinliğin yüksek düzeyde bir memnuniyet ile sonuçlandığı görülmektedir (5 boyutun ağırlıksız ortalaması: 4.43/5.00). Kariyer katkısı boyutunda katılımcılar 4.50/5.00 ortalama verdi; bu oran, etkinliğin mesleki gelişime yüksek bir katkı sağladığını ortaya koymaktadır. Katılımcıların %88'i kariyer katkısını yüksek (4-5 puan) olarak değerlendirdi. Organizasyon boyutunda ise elde edilen 4.53/5.00 ortalama, lojistik ve planlama açısından yüksek bir deneyim yaşandığına işaret etmektedir. Genel memnuniyet ve yeniden katılım isteği sorusunda 4.43/5.00 ortalama elde edildi; katılımcıların %96'i bu etkinliğe benzer programlara tekrar iştirak etmek istediklerini belirtti. Bu oran, etkinliğin bıraktığı kalıcı izlenim açısından güçlü bir gösterge niteliği taşımaktadır.</w:t>
      </w:r>
    </w:p>
    <w:p w14:paraId="4415A2D1" w14:textId="77777777" w:rsidR="005334A2" w:rsidRDefault="00000000">
      <w:pPr>
        <w:spacing w:before="160" w:after="140"/>
        <w:ind w:firstLine="567"/>
      </w:pPr>
      <w:r>
        <w:rPr>
          <w:color w:val="202124"/>
        </w:rPr>
        <w:t xml:space="preserve">Açık </w:t>
      </w:r>
      <w:proofErr w:type="spellStart"/>
      <w:r>
        <w:rPr>
          <w:color w:val="202124"/>
        </w:rPr>
        <w:t>uçlu</w:t>
      </w:r>
      <w:proofErr w:type="spellEnd"/>
      <w:r>
        <w:rPr>
          <w:color w:val="202124"/>
        </w:rPr>
        <w:t xml:space="preserve"> </w:t>
      </w:r>
      <w:proofErr w:type="spellStart"/>
      <w:r>
        <w:rPr>
          <w:color w:val="202124"/>
        </w:rPr>
        <w:t>anket</w:t>
      </w:r>
      <w:proofErr w:type="spellEnd"/>
      <w:r>
        <w:rPr>
          <w:color w:val="202124"/>
        </w:rPr>
        <w:t xml:space="preserve"> </w:t>
      </w:r>
      <w:proofErr w:type="spellStart"/>
      <w:r>
        <w:rPr>
          <w:color w:val="202124"/>
        </w:rPr>
        <w:t>sorularına</w:t>
      </w:r>
      <w:proofErr w:type="spellEnd"/>
      <w:r>
        <w:rPr>
          <w:color w:val="202124"/>
        </w:rPr>
        <w:t xml:space="preserve"> verilen yanıtlar incelendiğinde geri bildirimlerin yaklaşık %71'inin olumlu veya takdire değer unsurları ön plana çıkardığı, %29'inin ise iyileştirmeye açık </w:t>
      </w:r>
      <w:r>
        <w:rPr>
          <w:color w:val="202124"/>
        </w:rPr>
        <w:lastRenderedPageBreak/>
        <w:t>alanları işaret ettiği görülmektedir. Öğrencilerin en çok vurguladığı olumlu unsurlar arasında mezunların samimi deneyim paylaşımları ve networking atmosferi yer aldı. Geliştirme önerileri arasında ise daha fazla mezunun davet edilmesi ve sektör çeşitliliğinin artırılması öne çıktı. Bu geri bildirimler, etkinliğin güçlü yönlerini pekiştiren ve gelişime açık alanlarını açıkça ortaya koyan somut veriler olarak değerlendirilmektedir.</w:t>
      </w:r>
    </w:p>
    <w:p w14:paraId="5CC9D36B" w14:textId="77777777" w:rsidR="005334A2" w:rsidRDefault="00000000">
      <w:pPr>
        <w:spacing w:before="160" w:after="140"/>
        <w:ind w:firstLine="567"/>
      </w:pPr>
      <w:proofErr w:type="spellStart"/>
      <w:r>
        <w:rPr>
          <w:color w:val="202124"/>
        </w:rPr>
        <w:t>Mezunlar</w:t>
      </w:r>
      <w:proofErr w:type="spellEnd"/>
      <w:r>
        <w:rPr>
          <w:color w:val="202124"/>
        </w:rPr>
        <w:t xml:space="preserve"> </w:t>
      </w:r>
      <w:proofErr w:type="spellStart"/>
      <w:r>
        <w:rPr>
          <w:color w:val="202124"/>
        </w:rPr>
        <w:t>buluşmasından</w:t>
      </w:r>
      <w:proofErr w:type="spellEnd"/>
      <w:r>
        <w:rPr>
          <w:color w:val="202124"/>
        </w:rPr>
        <w:t xml:space="preserve"> </w:t>
      </w:r>
      <w:proofErr w:type="spellStart"/>
      <w:r>
        <w:rPr>
          <w:color w:val="202124"/>
        </w:rPr>
        <w:t>çıkan</w:t>
      </w:r>
      <w:proofErr w:type="spellEnd"/>
      <w:r>
        <w:rPr>
          <w:color w:val="202124"/>
        </w:rPr>
        <w:t xml:space="preserve"> </w:t>
      </w:r>
      <w:proofErr w:type="spellStart"/>
      <w:r>
        <w:rPr>
          <w:color w:val="202124"/>
        </w:rPr>
        <w:t>zengin</w:t>
      </w:r>
      <w:proofErr w:type="spellEnd"/>
      <w:r>
        <w:rPr>
          <w:color w:val="202124"/>
        </w:rPr>
        <w:t xml:space="preserve"> değerlendirmeler doğrultusunda, 2025 yılı planlamasına 'Mezun Takip Sistemi' entegrasyonu ve mezun-öğrenci mentörlük sisteminin dahil edilmesine karar verilmiştir. Etkinliğin en düşük değerlendirme aldığı konuşmacı/sunum kalitesi boyutundaki geri bildirimler (4.30/5.00) sonraki planlamada öncelikli odak alanı olarak ele alınacak; organizasyon düzeyi boyutundaki güçlü performans (4.53/5.00) ise sürdürülmesi ve geliştirilmesi gereken bir kazanım olarak korunacaktır.</w:t>
      </w: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7829B7" w14:paraId="45BF9A84" w14:textId="77777777" w:rsidTr="004A5EB4">
        <w:trPr>
          <w:jc w:val="center"/>
        </w:trPr>
        <w:tc>
          <w:tcPr>
            <w:tcW w:w="1968" w:type="dxa"/>
            <w:shd w:val="clear" w:color="auto" w:fill="F9F9F9"/>
          </w:tcPr>
          <w:p w14:paraId="40D3C0B0" w14:textId="77777777" w:rsidR="007829B7" w:rsidRDefault="007829B7" w:rsidP="004A5EB4">
            <w:proofErr w:type="spellStart"/>
            <w:r>
              <w:rPr>
                <w:rFonts w:ascii="Times New Roman" w:hAnsi="Times New Roman"/>
                <w:b/>
                <w:sz w:val="20"/>
              </w:rPr>
              <w:t>Etkinlik</w:t>
            </w:r>
            <w:proofErr w:type="spellEnd"/>
            <w:r>
              <w:rPr>
                <w:rFonts w:ascii="Times New Roman" w:hAnsi="Times New Roman"/>
                <w:b/>
                <w:sz w:val="20"/>
              </w:rPr>
              <w:t xml:space="preserve"> </w:t>
            </w:r>
            <w:proofErr w:type="spellStart"/>
            <w:r>
              <w:rPr>
                <w:rFonts w:ascii="Times New Roman" w:hAnsi="Times New Roman"/>
                <w:b/>
                <w:sz w:val="20"/>
              </w:rPr>
              <w:t>Tarihi</w:t>
            </w:r>
            <w:proofErr w:type="spellEnd"/>
          </w:p>
        </w:tc>
        <w:tc>
          <w:tcPr>
            <w:tcW w:w="3937" w:type="dxa"/>
          </w:tcPr>
          <w:p w14:paraId="1693F8E1" w14:textId="77777777" w:rsidR="007829B7" w:rsidRDefault="007829B7" w:rsidP="004A5EB4">
            <w:r>
              <w:rPr>
                <w:rFonts w:ascii="Times New Roman" w:hAnsi="Times New Roman"/>
                <w:sz w:val="20"/>
              </w:rPr>
              <w:t xml:space="preserve">6 </w:t>
            </w:r>
            <w:proofErr w:type="spellStart"/>
            <w:r>
              <w:rPr>
                <w:rFonts w:ascii="Times New Roman" w:hAnsi="Times New Roman"/>
                <w:sz w:val="20"/>
              </w:rPr>
              <w:t>Aralık</w:t>
            </w:r>
            <w:proofErr w:type="spellEnd"/>
            <w:r>
              <w:rPr>
                <w:rFonts w:ascii="Times New Roman" w:hAnsi="Times New Roman"/>
                <w:sz w:val="20"/>
              </w:rPr>
              <w:t xml:space="preserve"> 2024</w:t>
            </w:r>
          </w:p>
        </w:tc>
      </w:tr>
      <w:tr w:rsidR="007829B7" w14:paraId="0D7832BD" w14:textId="77777777" w:rsidTr="004A5EB4">
        <w:trPr>
          <w:jc w:val="center"/>
        </w:trPr>
        <w:tc>
          <w:tcPr>
            <w:tcW w:w="1968" w:type="dxa"/>
            <w:shd w:val="clear" w:color="auto" w:fill="F9F9F9"/>
          </w:tcPr>
          <w:p w14:paraId="62979E6E" w14:textId="77777777" w:rsidR="007829B7" w:rsidRDefault="007829B7" w:rsidP="004A5EB4">
            <w:proofErr w:type="spellStart"/>
            <w:r>
              <w:rPr>
                <w:rFonts w:ascii="Times New Roman" w:hAnsi="Times New Roman"/>
                <w:b/>
                <w:sz w:val="20"/>
              </w:rPr>
              <w:t>Katılımcı</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6DA5D20D" w14:textId="77777777" w:rsidR="007829B7" w:rsidRDefault="007829B7" w:rsidP="004A5EB4">
            <w:r>
              <w:rPr>
                <w:rFonts w:ascii="Times New Roman" w:hAnsi="Times New Roman"/>
                <w:sz w:val="20"/>
              </w:rPr>
              <w:t xml:space="preserve">85 </w:t>
            </w:r>
            <w:proofErr w:type="spellStart"/>
            <w:r>
              <w:rPr>
                <w:rFonts w:ascii="Times New Roman" w:hAnsi="Times New Roman"/>
                <w:sz w:val="20"/>
              </w:rPr>
              <w:t>Kişi</w:t>
            </w:r>
            <w:proofErr w:type="spellEnd"/>
            <w:r>
              <w:rPr>
                <w:rFonts w:ascii="Times New Roman" w:hAnsi="Times New Roman"/>
                <w:sz w:val="20"/>
              </w:rPr>
              <w:t xml:space="preserve"> (5 Akademik/</w:t>
            </w:r>
            <w:proofErr w:type="spellStart"/>
            <w:r>
              <w:rPr>
                <w:rFonts w:ascii="Times New Roman" w:hAnsi="Times New Roman"/>
                <w:sz w:val="20"/>
              </w:rPr>
              <w:t>İdari</w:t>
            </w:r>
            <w:proofErr w:type="spellEnd"/>
            <w:r>
              <w:rPr>
                <w:rFonts w:ascii="Times New Roman" w:hAnsi="Times New Roman"/>
                <w:sz w:val="20"/>
              </w:rPr>
              <w:t xml:space="preserve">, 80 </w:t>
            </w:r>
            <w:proofErr w:type="spellStart"/>
            <w:r>
              <w:rPr>
                <w:rFonts w:ascii="Times New Roman" w:hAnsi="Times New Roman"/>
                <w:sz w:val="20"/>
              </w:rPr>
              <w:t>Öğrenci</w:t>
            </w:r>
            <w:proofErr w:type="spellEnd"/>
            <w:r>
              <w:rPr>
                <w:rFonts w:ascii="Times New Roman" w:hAnsi="Times New Roman"/>
                <w:sz w:val="20"/>
              </w:rPr>
              <w:t>)</w:t>
            </w:r>
          </w:p>
        </w:tc>
      </w:tr>
      <w:tr w:rsidR="007829B7" w14:paraId="0A32628C" w14:textId="77777777" w:rsidTr="004A5EB4">
        <w:trPr>
          <w:jc w:val="center"/>
        </w:trPr>
        <w:tc>
          <w:tcPr>
            <w:tcW w:w="1968" w:type="dxa"/>
            <w:shd w:val="clear" w:color="auto" w:fill="F9F9F9"/>
          </w:tcPr>
          <w:p w14:paraId="573F336F" w14:textId="77777777" w:rsidR="007829B7" w:rsidRDefault="007829B7" w:rsidP="004A5EB4">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Yanıt</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2EA4FAB3" w14:textId="77777777" w:rsidR="007829B7" w:rsidRDefault="007829B7" w:rsidP="004A5EB4">
            <w:r>
              <w:rPr>
                <w:rFonts w:ascii="Times New Roman" w:hAnsi="Times New Roman"/>
                <w:sz w:val="20"/>
              </w:rPr>
              <w:t xml:space="preserve">76 </w:t>
            </w:r>
            <w:proofErr w:type="spellStart"/>
            <w:r>
              <w:rPr>
                <w:rFonts w:ascii="Times New Roman" w:hAnsi="Times New Roman"/>
                <w:sz w:val="20"/>
              </w:rPr>
              <w:t>Katılımcı</w:t>
            </w:r>
            <w:proofErr w:type="spellEnd"/>
          </w:p>
        </w:tc>
      </w:tr>
      <w:tr w:rsidR="007829B7" w14:paraId="1692B94B" w14:textId="77777777" w:rsidTr="004A5EB4">
        <w:trPr>
          <w:jc w:val="center"/>
        </w:trPr>
        <w:tc>
          <w:tcPr>
            <w:tcW w:w="1968" w:type="dxa"/>
            <w:shd w:val="clear" w:color="auto" w:fill="F9F9F9"/>
          </w:tcPr>
          <w:p w14:paraId="49FB4D35" w14:textId="77777777" w:rsidR="007829B7" w:rsidRDefault="007829B7" w:rsidP="004A5EB4">
            <w:proofErr w:type="spellStart"/>
            <w:r>
              <w:rPr>
                <w:rFonts w:ascii="Times New Roman" w:hAnsi="Times New Roman"/>
                <w:b/>
                <w:sz w:val="20"/>
              </w:rPr>
              <w:t>Katılım</w:t>
            </w:r>
            <w:proofErr w:type="spellEnd"/>
            <w:r>
              <w:rPr>
                <w:rFonts w:ascii="Times New Roman" w:hAnsi="Times New Roman"/>
                <w:b/>
                <w:sz w:val="20"/>
              </w:rPr>
              <w:t xml:space="preserve"> / </w:t>
            </w:r>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Dönüş</w:t>
            </w:r>
            <w:proofErr w:type="spellEnd"/>
            <w:r>
              <w:rPr>
                <w:rFonts w:ascii="Times New Roman" w:hAnsi="Times New Roman"/>
                <w:b/>
                <w:sz w:val="20"/>
              </w:rPr>
              <w:t xml:space="preserve"> </w:t>
            </w:r>
            <w:proofErr w:type="spellStart"/>
            <w:r>
              <w:rPr>
                <w:rFonts w:ascii="Times New Roman" w:hAnsi="Times New Roman"/>
                <w:b/>
                <w:sz w:val="20"/>
              </w:rPr>
              <w:t>Oranı</w:t>
            </w:r>
            <w:proofErr w:type="spellEnd"/>
          </w:p>
        </w:tc>
        <w:tc>
          <w:tcPr>
            <w:tcW w:w="3937" w:type="dxa"/>
          </w:tcPr>
          <w:p w14:paraId="48CDB482" w14:textId="77777777" w:rsidR="007829B7" w:rsidRDefault="007829B7" w:rsidP="004A5EB4">
            <w:r>
              <w:rPr>
                <w:rFonts w:ascii="Times New Roman" w:hAnsi="Times New Roman"/>
                <w:sz w:val="20"/>
              </w:rPr>
              <w:t>%89.0</w:t>
            </w:r>
          </w:p>
        </w:tc>
      </w:tr>
      <w:tr w:rsidR="007829B7" w14:paraId="4688118A" w14:textId="77777777" w:rsidTr="004A5EB4">
        <w:trPr>
          <w:jc w:val="center"/>
        </w:trPr>
        <w:tc>
          <w:tcPr>
            <w:tcW w:w="1968" w:type="dxa"/>
            <w:shd w:val="clear" w:color="auto" w:fill="F9F9F9"/>
          </w:tcPr>
          <w:p w14:paraId="15DB3276" w14:textId="77777777" w:rsidR="007829B7" w:rsidRDefault="007829B7" w:rsidP="004A5EB4">
            <w:r>
              <w:rPr>
                <w:rFonts w:ascii="Times New Roman" w:hAnsi="Times New Roman"/>
                <w:b/>
                <w:sz w:val="20"/>
              </w:rPr>
              <w:t xml:space="preserve">Genel </w:t>
            </w:r>
            <w:proofErr w:type="spellStart"/>
            <w:r>
              <w:rPr>
                <w:rFonts w:ascii="Times New Roman" w:hAnsi="Times New Roman"/>
                <w:b/>
                <w:sz w:val="20"/>
              </w:rPr>
              <w:t>Ortalama</w:t>
            </w:r>
            <w:proofErr w:type="spellEnd"/>
            <w:r>
              <w:rPr>
                <w:rFonts w:ascii="Times New Roman" w:hAnsi="Times New Roman"/>
                <w:b/>
                <w:sz w:val="20"/>
              </w:rPr>
              <w:t xml:space="preserve"> </w:t>
            </w:r>
            <w:proofErr w:type="spellStart"/>
            <w:r>
              <w:rPr>
                <w:rFonts w:ascii="Times New Roman" w:hAnsi="Times New Roman"/>
                <w:b/>
                <w:sz w:val="20"/>
              </w:rPr>
              <w:t>Memnuniyet</w:t>
            </w:r>
            <w:proofErr w:type="spellEnd"/>
          </w:p>
        </w:tc>
        <w:tc>
          <w:tcPr>
            <w:tcW w:w="3937" w:type="dxa"/>
          </w:tcPr>
          <w:p w14:paraId="152BA5E5" w14:textId="77777777" w:rsidR="007829B7" w:rsidRDefault="007829B7" w:rsidP="004A5EB4">
            <w:r>
              <w:rPr>
                <w:rFonts w:ascii="Times New Roman" w:hAnsi="Times New Roman"/>
                <w:sz w:val="20"/>
              </w:rPr>
              <w:t>4.43 / 5.00</w:t>
            </w:r>
          </w:p>
        </w:tc>
      </w:tr>
      <w:tr w:rsidR="007829B7" w14:paraId="0204DB33" w14:textId="77777777" w:rsidTr="004A5EB4">
        <w:trPr>
          <w:jc w:val="center"/>
        </w:trPr>
        <w:tc>
          <w:tcPr>
            <w:tcW w:w="1968" w:type="dxa"/>
            <w:shd w:val="clear" w:color="auto" w:fill="F9F9F9"/>
          </w:tcPr>
          <w:p w14:paraId="25E9E9F0" w14:textId="12D69D63" w:rsidR="007829B7" w:rsidRDefault="007829B7" w:rsidP="004A5EB4">
            <w:pPr>
              <w:rPr>
                <w:rFonts w:ascii="Times New Roman" w:hAnsi="Times New Roman"/>
                <w:b/>
                <w:sz w:val="20"/>
              </w:rPr>
            </w:pPr>
          </w:p>
        </w:tc>
        <w:tc>
          <w:tcPr>
            <w:tcW w:w="3937" w:type="dxa"/>
          </w:tcPr>
          <w:p w14:paraId="19C0518A" w14:textId="77777777" w:rsidR="007829B7" w:rsidRDefault="007829B7" w:rsidP="004A5EB4">
            <w:pPr>
              <w:rPr>
                <w:rFonts w:ascii="Times New Roman" w:hAnsi="Times New Roman"/>
                <w:sz w:val="20"/>
              </w:rPr>
            </w:pPr>
          </w:p>
        </w:tc>
      </w:tr>
    </w:tbl>
    <w:p w14:paraId="3E9E4D93" w14:textId="43B615AA" w:rsidR="005334A2" w:rsidRDefault="005334A2">
      <w:pPr>
        <w:jc w:val="right"/>
      </w:pPr>
    </w:p>
    <w:p w14:paraId="6A23C79E" w14:textId="77777777" w:rsidR="007829B7" w:rsidRDefault="007829B7">
      <w:pPr>
        <w:jc w:val="right"/>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472"/>
        <w:gridCol w:w="850"/>
        <w:gridCol w:w="590"/>
      </w:tblGrid>
      <w:tr w:rsidR="007829B7" w14:paraId="2537BF34" w14:textId="77777777" w:rsidTr="004A5EB4">
        <w:trPr>
          <w:jc w:val="center"/>
        </w:trPr>
        <w:tc>
          <w:tcPr>
            <w:tcW w:w="1771" w:type="dxa"/>
            <w:shd w:val="clear" w:color="auto" w:fill="ECECEC"/>
          </w:tcPr>
          <w:p w14:paraId="4557F83F" w14:textId="77777777" w:rsidR="007829B7" w:rsidRDefault="007829B7"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5ADB662C" w14:textId="77777777" w:rsidR="007829B7" w:rsidRDefault="007829B7" w:rsidP="004A5EB4">
            <w:r>
              <w:rPr>
                <w:rFonts w:ascii="Times New Roman" w:hAnsi="Times New Roman"/>
                <w:b/>
                <w:sz w:val="19"/>
              </w:rPr>
              <w:t>1</w:t>
            </w:r>
          </w:p>
        </w:tc>
        <w:tc>
          <w:tcPr>
            <w:tcW w:w="472" w:type="dxa"/>
            <w:shd w:val="clear" w:color="auto" w:fill="ECECEC"/>
          </w:tcPr>
          <w:p w14:paraId="2DEB854B" w14:textId="77777777" w:rsidR="007829B7" w:rsidRDefault="007829B7" w:rsidP="004A5EB4">
            <w:r>
              <w:rPr>
                <w:rFonts w:ascii="Times New Roman" w:hAnsi="Times New Roman"/>
                <w:b/>
                <w:sz w:val="19"/>
              </w:rPr>
              <w:t>2</w:t>
            </w:r>
          </w:p>
        </w:tc>
        <w:tc>
          <w:tcPr>
            <w:tcW w:w="472" w:type="dxa"/>
            <w:shd w:val="clear" w:color="auto" w:fill="ECECEC"/>
          </w:tcPr>
          <w:p w14:paraId="3F6569E2" w14:textId="77777777" w:rsidR="007829B7" w:rsidRDefault="007829B7" w:rsidP="004A5EB4">
            <w:r>
              <w:rPr>
                <w:rFonts w:ascii="Times New Roman" w:hAnsi="Times New Roman"/>
                <w:b/>
                <w:sz w:val="19"/>
              </w:rPr>
              <w:t>3</w:t>
            </w:r>
          </w:p>
        </w:tc>
        <w:tc>
          <w:tcPr>
            <w:tcW w:w="472" w:type="dxa"/>
            <w:shd w:val="clear" w:color="auto" w:fill="ECECEC"/>
          </w:tcPr>
          <w:p w14:paraId="309BE290" w14:textId="77777777" w:rsidR="007829B7" w:rsidRDefault="007829B7" w:rsidP="004A5EB4">
            <w:r>
              <w:rPr>
                <w:rFonts w:ascii="Times New Roman" w:hAnsi="Times New Roman"/>
                <w:b/>
                <w:sz w:val="19"/>
              </w:rPr>
              <w:t>4</w:t>
            </w:r>
          </w:p>
        </w:tc>
        <w:tc>
          <w:tcPr>
            <w:tcW w:w="472" w:type="dxa"/>
            <w:shd w:val="clear" w:color="auto" w:fill="ECECEC"/>
          </w:tcPr>
          <w:p w14:paraId="674F7185" w14:textId="77777777" w:rsidR="007829B7" w:rsidRDefault="007829B7" w:rsidP="004A5EB4">
            <w:r>
              <w:rPr>
                <w:rFonts w:ascii="Times New Roman" w:hAnsi="Times New Roman"/>
                <w:b/>
                <w:sz w:val="19"/>
              </w:rPr>
              <w:t>5</w:t>
            </w:r>
          </w:p>
        </w:tc>
        <w:tc>
          <w:tcPr>
            <w:tcW w:w="590" w:type="dxa"/>
            <w:shd w:val="clear" w:color="auto" w:fill="ECECEC"/>
          </w:tcPr>
          <w:p w14:paraId="6DC2F8E5" w14:textId="77777777" w:rsidR="007829B7" w:rsidRDefault="007829B7" w:rsidP="004A5EB4">
            <w:proofErr w:type="spellStart"/>
            <w:r>
              <w:rPr>
                <w:rFonts w:ascii="Times New Roman" w:hAnsi="Times New Roman"/>
                <w:b/>
                <w:sz w:val="19"/>
              </w:rPr>
              <w:t>Toplam</w:t>
            </w:r>
            <w:proofErr w:type="spellEnd"/>
          </w:p>
        </w:tc>
        <w:tc>
          <w:tcPr>
            <w:tcW w:w="590" w:type="dxa"/>
            <w:shd w:val="clear" w:color="auto" w:fill="ECECEC"/>
          </w:tcPr>
          <w:p w14:paraId="6BD35383" w14:textId="77777777" w:rsidR="007829B7" w:rsidRDefault="007829B7" w:rsidP="004A5EB4">
            <w:r>
              <w:rPr>
                <w:rFonts w:ascii="Times New Roman" w:hAnsi="Times New Roman"/>
                <w:b/>
                <w:sz w:val="19"/>
              </w:rPr>
              <w:t>Ort.</w:t>
            </w:r>
          </w:p>
        </w:tc>
      </w:tr>
      <w:tr w:rsidR="007829B7" w14:paraId="100670B1" w14:textId="77777777" w:rsidTr="004A5EB4">
        <w:trPr>
          <w:jc w:val="center"/>
        </w:trPr>
        <w:tc>
          <w:tcPr>
            <w:tcW w:w="1771" w:type="dxa"/>
          </w:tcPr>
          <w:p w14:paraId="66AEF60B" w14:textId="77777777" w:rsidR="007829B7" w:rsidRDefault="007829B7"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61220120" w14:textId="77777777" w:rsidR="007829B7" w:rsidRDefault="007829B7" w:rsidP="004A5EB4">
            <w:pPr>
              <w:jc w:val="center"/>
            </w:pPr>
            <w:r>
              <w:rPr>
                <w:rFonts w:ascii="Times New Roman" w:hAnsi="Times New Roman"/>
                <w:sz w:val="19"/>
              </w:rPr>
              <w:t>0</w:t>
            </w:r>
          </w:p>
        </w:tc>
        <w:tc>
          <w:tcPr>
            <w:tcW w:w="472" w:type="dxa"/>
          </w:tcPr>
          <w:p w14:paraId="70920F80" w14:textId="77777777" w:rsidR="007829B7" w:rsidRDefault="007829B7" w:rsidP="004A5EB4">
            <w:pPr>
              <w:jc w:val="center"/>
            </w:pPr>
            <w:r>
              <w:rPr>
                <w:rFonts w:ascii="Times New Roman" w:hAnsi="Times New Roman"/>
                <w:sz w:val="19"/>
              </w:rPr>
              <w:t>0</w:t>
            </w:r>
          </w:p>
        </w:tc>
        <w:tc>
          <w:tcPr>
            <w:tcW w:w="472" w:type="dxa"/>
          </w:tcPr>
          <w:p w14:paraId="2E698A67" w14:textId="77777777" w:rsidR="007829B7" w:rsidRDefault="007829B7" w:rsidP="004A5EB4">
            <w:pPr>
              <w:jc w:val="center"/>
            </w:pPr>
            <w:r>
              <w:rPr>
                <w:rFonts w:ascii="Times New Roman" w:hAnsi="Times New Roman"/>
                <w:sz w:val="19"/>
              </w:rPr>
              <w:t>5</w:t>
            </w:r>
          </w:p>
        </w:tc>
        <w:tc>
          <w:tcPr>
            <w:tcW w:w="472" w:type="dxa"/>
          </w:tcPr>
          <w:p w14:paraId="21EF5049" w14:textId="77777777" w:rsidR="007829B7" w:rsidRDefault="007829B7" w:rsidP="004A5EB4">
            <w:pPr>
              <w:jc w:val="center"/>
            </w:pPr>
            <w:r>
              <w:rPr>
                <w:rFonts w:ascii="Times New Roman" w:hAnsi="Times New Roman"/>
                <w:sz w:val="19"/>
              </w:rPr>
              <w:t>39</w:t>
            </w:r>
          </w:p>
        </w:tc>
        <w:tc>
          <w:tcPr>
            <w:tcW w:w="472" w:type="dxa"/>
          </w:tcPr>
          <w:p w14:paraId="74E7C334" w14:textId="77777777" w:rsidR="007829B7" w:rsidRDefault="007829B7" w:rsidP="004A5EB4">
            <w:pPr>
              <w:jc w:val="center"/>
            </w:pPr>
            <w:r>
              <w:rPr>
                <w:rFonts w:ascii="Times New Roman" w:hAnsi="Times New Roman"/>
                <w:sz w:val="19"/>
              </w:rPr>
              <w:t>32</w:t>
            </w:r>
          </w:p>
        </w:tc>
        <w:tc>
          <w:tcPr>
            <w:tcW w:w="590" w:type="dxa"/>
          </w:tcPr>
          <w:p w14:paraId="7A38950D" w14:textId="77777777" w:rsidR="007829B7" w:rsidRDefault="007829B7" w:rsidP="004A5EB4">
            <w:pPr>
              <w:jc w:val="center"/>
            </w:pPr>
            <w:r>
              <w:rPr>
                <w:rFonts w:ascii="Times New Roman" w:hAnsi="Times New Roman"/>
                <w:sz w:val="19"/>
              </w:rPr>
              <w:t>76</w:t>
            </w:r>
          </w:p>
        </w:tc>
        <w:tc>
          <w:tcPr>
            <w:tcW w:w="590" w:type="dxa"/>
          </w:tcPr>
          <w:p w14:paraId="67BB1AF7" w14:textId="77777777" w:rsidR="007829B7" w:rsidRDefault="007829B7" w:rsidP="004A5EB4">
            <w:pPr>
              <w:jc w:val="center"/>
            </w:pPr>
            <w:r>
              <w:rPr>
                <w:rFonts w:ascii="Times New Roman" w:hAnsi="Times New Roman"/>
                <w:b/>
                <w:sz w:val="19"/>
              </w:rPr>
              <w:t>4.40</w:t>
            </w:r>
          </w:p>
        </w:tc>
      </w:tr>
      <w:tr w:rsidR="007829B7" w14:paraId="32FD52FD" w14:textId="77777777" w:rsidTr="004A5EB4">
        <w:trPr>
          <w:jc w:val="center"/>
        </w:trPr>
        <w:tc>
          <w:tcPr>
            <w:tcW w:w="1771" w:type="dxa"/>
          </w:tcPr>
          <w:p w14:paraId="621DEC8C" w14:textId="77777777" w:rsidR="007829B7" w:rsidRDefault="007829B7"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3108A42E" w14:textId="77777777" w:rsidR="007829B7" w:rsidRDefault="007829B7" w:rsidP="004A5EB4">
            <w:pPr>
              <w:jc w:val="center"/>
            </w:pPr>
            <w:r>
              <w:rPr>
                <w:rFonts w:ascii="Times New Roman" w:hAnsi="Times New Roman"/>
                <w:sz w:val="19"/>
              </w:rPr>
              <w:t>0</w:t>
            </w:r>
          </w:p>
        </w:tc>
        <w:tc>
          <w:tcPr>
            <w:tcW w:w="472" w:type="dxa"/>
          </w:tcPr>
          <w:p w14:paraId="338F5313" w14:textId="77777777" w:rsidR="007829B7" w:rsidRDefault="007829B7" w:rsidP="004A5EB4">
            <w:pPr>
              <w:jc w:val="center"/>
            </w:pPr>
            <w:r>
              <w:rPr>
                <w:rFonts w:ascii="Times New Roman" w:hAnsi="Times New Roman"/>
                <w:sz w:val="19"/>
              </w:rPr>
              <w:t>0</w:t>
            </w:r>
          </w:p>
        </w:tc>
        <w:tc>
          <w:tcPr>
            <w:tcW w:w="472" w:type="dxa"/>
          </w:tcPr>
          <w:p w14:paraId="1C72DBFE" w14:textId="77777777" w:rsidR="007829B7" w:rsidRDefault="007829B7" w:rsidP="004A5EB4">
            <w:pPr>
              <w:jc w:val="center"/>
            </w:pPr>
            <w:r>
              <w:rPr>
                <w:rFonts w:ascii="Times New Roman" w:hAnsi="Times New Roman"/>
                <w:sz w:val="19"/>
              </w:rPr>
              <w:t>7</w:t>
            </w:r>
          </w:p>
        </w:tc>
        <w:tc>
          <w:tcPr>
            <w:tcW w:w="472" w:type="dxa"/>
          </w:tcPr>
          <w:p w14:paraId="7D6E5BD0" w14:textId="77777777" w:rsidR="007829B7" w:rsidRDefault="007829B7" w:rsidP="004A5EB4">
            <w:pPr>
              <w:jc w:val="center"/>
            </w:pPr>
            <w:r>
              <w:rPr>
                <w:rFonts w:ascii="Times New Roman" w:hAnsi="Times New Roman"/>
                <w:sz w:val="19"/>
              </w:rPr>
              <w:t>33</w:t>
            </w:r>
          </w:p>
        </w:tc>
        <w:tc>
          <w:tcPr>
            <w:tcW w:w="472" w:type="dxa"/>
          </w:tcPr>
          <w:p w14:paraId="0DC531C7" w14:textId="77777777" w:rsidR="007829B7" w:rsidRDefault="007829B7" w:rsidP="004A5EB4">
            <w:pPr>
              <w:jc w:val="center"/>
            </w:pPr>
            <w:r>
              <w:rPr>
                <w:rFonts w:ascii="Times New Roman" w:hAnsi="Times New Roman"/>
                <w:sz w:val="19"/>
              </w:rPr>
              <w:t>36</w:t>
            </w:r>
          </w:p>
        </w:tc>
        <w:tc>
          <w:tcPr>
            <w:tcW w:w="590" w:type="dxa"/>
          </w:tcPr>
          <w:p w14:paraId="61135278" w14:textId="77777777" w:rsidR="007829B7" w:rsidRDefault="007829B7" w:rsidP="004A5EB4">
            <w:pPr>
              <w:jc w:val="center"/>
            </w:pPr>
            <w:r>
              <w:rPr>
                <w:rFonts w:ascii="Times New Roman" w:hAnsi="Times New Roman"/>
                <w:sz w:val="19"/>
              </w:rPr>
              <w:t>76</w:t>
            </w:r>
          </w:p>
        </w:tc>
        <w:tc>
          <w:tcPr>
            <w:tcW w:w="590" w:type="dxa"/>
          </w:tcPr>
          <w:p w14:paraId="3D4FA1C2" w14:textId="77777777" w:rsidR="007829B7" w:rsidRDefault="007829B7" w:rsidP="004A5EB4">
            <w:pPr>
              <w:jc w:val="center"/>
            </w:pPr>
            <w:r>
              <w:rPr>
                <w:rFonts w:ascii="Times New Roman" w:hAnsi="Times New Roman"/>
                <w:b/>
                <w:sz w:val="19"/>
              </w:rPr>
              <w:t>4.50</w:t>
            </w:r>
          </w:p>
        </w:tc>
      </w:tr>
      <w:tr w:rsidR="007829B7" w14:paraId="58C1D3A1" w14:textId="77777777" w:rsidTr="004A5EB4">
        <w:trPr>
          <w:jc w:val="center"/>
        </w:trPr>
        <w:tc>
          <w:tcPr>
            <w:tcW w:w="1771" w:type="dxa"/>
          </w:tcPr>
          <w:p w14:paraId="3B6580A3" w14:textId="77777777" w:rsidR="007829B7" w:rsidRDefault="007829B7"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4004C70E" w14:textId="77777777" w:rsidR="007829B7" w:rsidRDefault="007829B7" w:rsidP="004A5EB4">
            <w:pPr>
              <w:jc w:val="center"/>
            </w:pPr>
            <w:r>
              <w:rPr>
                <w:rFonts w:ascii="Times New Roman" w:hAnsi="Times New Roman"/>
                <w:sz w:val="19"/>
              </w:rPr>
              <w:t>0</w:t>
            </w:r>
          </w:p>
        </w:tc>
        <w:tc>
          <w:tcPr>
            <w:tcW w:w="472" w:type="dxa"/>
          </w:tcPr>
          <w:p w14:paraId="125535C3" w14:textId="77777777" w:rsidR="007829B7" w:rsidRDefault="007829B7" w:rsidP="004A5EB4">
            <w:pPr>
              <w:jc w:val="center"/>
            </w:pPr>
            <w:r>
              <w:rPr>
                <w:rFonts w:ascii="Times New Roman" w:hAnsi="Times New Roman"/>
                <w:sz w:val="19"/>
              </w:rPr>
              <w:t>0</w:t>
            </w:r>
          </w:p>
        </w:tc>
        <w:tc>
          <w:tcPr>
            <w:tcW w:w="472" w:type="dxa"/>
          </w:tcPr>
          <w:p w14:paraId="69FC2CDD" w14:textId="77777777" w:rsidR="007829B7" w:rsidRDefault="007829B7" w:rsidP="004A5EB4">
            <w:pPr>
              <w:jc w:val="center"/>
            </w:pPr>
            <w:r>
              <w:rPr>
                <w:rFonts w:ascii="Times New Roman" w:hAnsi="Times New Roman"/>
                <w:sz w:val="19"/>
              </w:rPr>
              <w:t>7</w:t>
            </w:r>
          </w:p>
        </w:tc>
        <w:tc>
          <w:tcPr>
            <w:tcW w:w="472" w:type="dxa"/>
          </w:tcPr>
          <w:p w14:paraId="0A520EE1" w14:textId="77777777" w:rsidR="007829B7" w:rsidRDefault="007829B7" w:rsidP="004A5EB4">
            <w:pPr>
              <w:jc w:val="center"/>
            </w:pPr>
            <w:r>
              <w:rPr>
                <w:rFonts w:ascii="Times New Roman" w:hAnsi="Times New Roman"/>
                <w:sz w:val="19"/>
              </w:rPr>
              <w:t>39</w:t>
            </w:r>
          </w:p>
        </w:tc>
        <w:tc>
          <w:tcPr>
            <w:tcW w:w="472" w:type="dxa"/>
          </w:tcPr>
          <w:p w14:paraId="09117322" w14:textId="77777777" w:rsidR="007829B7" w:rsidRDefault="007829B7" w:rsidP="004A5EB4">
            <w:pPr>
              <w:jc w:val="center"/>
            </w:pPr>
            <w:r>
              <w:rPr>
                <w:rFonts w:ascii="Times New Roman" w:hAnsi="Times New Roman"/>
                <w:sz w:val="19"/>
              </w:rPr>
              <w:t>30</w:t>
            </w:r>
          </w:p>
        </w:tc>
        <w:tc>
          <w:tcPr>
            <w:tcW w:w="590" w:type="dxa"/>
          </w:tcPr>
          <w:p w14:paraId="7D7A84F6" w14:textId="77777777" w:rsidR="007829B7" w:rsidRDefault="007829B7" w:rsidP="004A5EB4">
            <w:pPr>
              <w:jc w:val="center"/>
            </w:pPr>
            <w:r>
              <w:rPr>
                <w:rFonts w:ascii="Times New Roman" w:hAnsi="Times New Roman"/>
                <w:sz w:val="19"/>
              </w:rPr>
              <w:t>76</w:t>
            </w:r>
          </w:p>
        </w:tc>
        <w:tc>
          <w:tcPr>
            <w:tcW w:w="590" w:type="dxa"/>
          </w:tcPr>
          <w:p w14:paraId="604BD89C" w14:textId="77777777" w:rsidR="007829B7" w:rsidRDefault="007829B7" w:rsidP="004A5EB4">
            <w:pPr>
              <w:jc w:val="center"/>
            </w:pPr>
            <w:r>
              <w:rPr>
                <w:rFonts w:ascii="Times New Roman" w:hAnsi="Times New Roman"/>
                <w:b/>
                <w:sz w:val="19"/>
              </w:rPr>
              <w:t>4.30</w:t>
            </w:r>
          </w:p>
        </w:tc>
      </w:tr>
      <w:tr w:rsidR="007829B7" w14:paraId="291050C6" w14:textId="77777777" w:rsidTr="004A5EB4">
        <w:trPr>
          <w:jc w:val="center"/>
        </w:trPr>
        <w:tc>
          <w:tcPr>
            <w:tcW w:w="1771" w:type="dxa"/>
          </w:tcPr>
          <w:p w14:paraId="1EE0A41A" w14:textId="77777777" w:rsidR="007829B7" w:rsidRDefault="007829B7"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2B044067" w14:textId="77777777" w:rsidR="007829B7" w:rsidRDefault="007829B7" w:rsidP="004A5EB4">
            <w:pPr>
              <w:jc w:val="center"/>
            </w:pPr>
            <w:r>
              <w:rPr>
                <w:rFonts w:ascii="Times New Roman" w:hAnsi="Times New Roman"/>
                <w:sz w:val="19"/>
              </w:rPr>
              <w:t>0</w:t>
            </w:r>
          </w:p>
        </w:tc>
        <w:tc>
          <w:tcPr>
            <w:tcW w:w="472" w:type="dxa"/>
          </w:tcPr>
          <w:p w14:paraId="5D2789C8" w14:textId="77777777" w:rsidR="007829B7" w:rsidRDefault="007829B7" w:rsidP="004A5EB4">
            <w:pPr>
              <w:jc w:val="center"/>
            </w:pPr>
            <w:r>
              <w:rPr>
                <w:rFonts w:ascii="Times New Roman" w:hAnsi="Times New Roman"/>
                <w:sz w:val="19"/>
              </w:rPr>
              <w:t>0</w:t>
            </w:r>
          </w:p>
        </w:tc>
        <w:tc>
          <w:tcPr>
            <w:tcW w:w="472" w:type="dxa"/>
          </w:tcPr>
          <w:p w14:paraId="50DD99BE" w14:textId="77777777" w:rsidR="007829B7" w:rsidRDefault="007829B7" w:rsidP="004A5EB4">
            <w:pPr>
              <w:jc w:val="center"/>
            </w:pPr>
            <w:r>
              <w:rPr>
                <w:rFonts w:ascii="Times New Roman" w:hAnsi="Times New Roman"/>
                <w:sz w:val="19"/>
              </w:rPr>
              <w:t>5</w:t>
            </w:r>
          </w:p>
        </w:tc>
        <w:tc>
          <w:tcPr>
            <w:tcW w:w="472" w:type="dxa"/>
          </w:tcPr>
          <w:p w14:paraId="605FF0ED" w14:textId="77777777" w:rsidR="007829B7" w:rsidRDefault="007829B7" w:rsidP="004A5EB4">
            <w:pPr>
              <w:jc w:val="center"/>
            </w:pPr>
            <w:r>
              <w:rPr>
                <w:rFonts w:ascii="Times New Roman" w:hAnsi="Times New Roman"/>
                <w:sz w:val="19"/>
              </w:rPr>
              <w:t>29</w:t>
            </w:r>
          </w:p>
        </w:tc>
        <w:tc>
          <w:tcPr>
            <w:tcW w:w="472" w:type="dxa"/>
          </w:tcPr>
          <w:p w14:paraId="5BAAAB4F" w14:textId="77777777" w:rsidR="007829B7" w:rsidRDefault="007829B7" w:rsidP="004A5EB4">
            <w:pPr>
              <w:jc w:val="center"/>
            </w:pPr>
            <w:r>
              <w:rPr>
                <w:rFonts w:ascii="Times New Roman" w:hAnsi="Times New Roman"/>
                <w:sz w:val="19"/>
              </w:rPr>
              <w:t>42</w:t>
            </w:r>
          </w:p>
        </w:tc>
        <w:tc>
          <w:tcPr>
            <w:tcW w:w="590" w:type="dxa"/>
          </w:tcPr>
          <w:p w14:paraId="3D7ACF2A" w14:textId="77777777" w:rsidR="007829B7" w:rsidRDefault="007829B7" w:rsidP="004A5EB4">
            <w:pPr>
              <w:jc w:val="center"/>
            </w:pPr>
            <w:r>
              <w:rPr>
                <w:rFonts w:ascii="Times New Roman" w:hAnsi="Times New Roman"/>
                <w:sz w:val="19"/>
              </w:rPr>
              <w:t>76</w:t>
            </w:r>
          </w:p>
        </w:tc>
        <w:tc>
          <w:tcPr>
            <w:tcW w:w="590" w:type="dxa"/>
          </w:tcPr>
          <w:p w14:paraId="2B6A5374" w14:textId="77777777" w:rsidR="007829B7" w:rsidRDefault="007829B7" w:rsidP="004A5EB4">
            <w:pPr>
              <w:jc w:val="center"/>
            </w:pPr>
            <w:r>
              <w:rPr>
                <w:rFonts w:ascii="Times New Roman" w:hAnsi="Times New Roman"/>
                <w:b/>
                <w:sz w:val="19"/>
              </w:rPr>
              <w:t>4.53</w:t>
            </w:r>
          </w:p>
        </w:tc>
      </w:tr>
      <w:tr w:rsidR="007829B7" w14:paraId="42731A05" w14:textId="77777777" w:rsidTr="004A5EB4">
        <w:trPr>
          <w:jc w:val="center"/>
        </w:trPr>
        <w:tc>
          <w:tcPr>
            <w:tcW w:w="1771" w:type="dxa"/>
          </w:tcPr>
          <w:p w14:paraId="71F78847" w14:textId="77777777" w:rsidR="007829B7" w:rsidRDefault="007829B7"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t>İsteği</w:t>
            </w:r>
            <w:proofErr w:type="spellEnd"/>
          </w:p>
        </w:tc>
        <w:tc>
          <w:tcPr>
            <w:tcW w:w="472" w:type="dxa"/>
          </w:tcPr>
          <w:p w14:paraId="40340F84" w14:textId="77777777" w:rsidR="007829B7" w:rsidRDefault="007829B7" w:rsidP="004A5EB4">
            <w:pPr>
              <w:jc w:val="center"/>
            </w:pPr>
            <w:r>
              <w:rPr>
                <w:rFonts w:ascii="Times New Roman" w:hAnsi="Times New Roman"/>
                <w:sz w:val="19"/>
              </w:rPr>
              <w:t>0</w:t>
            </w:r>
          </w:p>
        </w:tc>
        <w:tc>
          <w:tcPr>
            <w:tcW w:w="472" w:type="dxa"/>
          </w:tcPr>
          <w:p w14:paraId="28442162" w14:textId="77777777" w:rsidR="007829B7" w:rsidRDefault="007829B7" w:rsidP="004A5EB4">
            <w:pPr>
              <w:jc w:val="center"/>
            </w:pPr>
            <w:r>
              <w:rPr>
                <w:rFonts w:ascii="Times New Roman" w:hAnsi="Times New Roman"/>
                <w:sz w:val="19"/>
              </w:rPr>
              <w:t>0</w:t>
            </w:r>
          </w:p>
        </w:tc>
        <w:tc>
          <w:tcPr>
            <w:tcW w:w="472" w:type="dxa"/>
          </w:tcPr>
          <w:p w14:paraId="58C16BB1" w14:textId="77777777" w:rsidR="007829B7" w:rsidRDefault="007829B7" w:rsidP="004A5EB4">
            <w:pPr>
              <w:jc w:val="center"/>
            </w:pPr>
            <w:r>
              <w:rPr>
                <w:rFonts w:ascii="Times New Roman" w:hAnsi="Times New Roman"/>
                <w:sz w:val="19"/>
              </w:rPr>
              <w:t>10</w:t>
            </w:r>
          </w:p>
        </w:tc>
        <w:tc>
          <w:tcPr>
            <w:tcW w:w="472" w:type="dxa"/>
          </w:tcPr>
          <w:p w14:paraId="0F4D3CE5" w14:textId="77777777" w:rsidR="007829B7" w:rsidRDefault="007829B7" w:rsidP="004A5EB4">
            <w:pPr>
              <w:jc w:val="center"/>
            </w:pPr>
            <w:r>
              <w:rPr>
                <w:rFonts w:ascii="Times New Roman" w:hAnsi="Times New Roman"/>
                <w:sz w:val="19"/>
              </w:rPr>
              <w:t>32</w:t>
            </w:r>
          </w:p>
        </w:tc>
        <w:tc>
          <w:tcPr>
            <w:tcW w:w="472" w:type="dxa"/>
          </w:tcPr>
          <w:p w14:paraId="2125DDA2" w14:textId="77777777" w:rsidR="007829B7" w:rsidRDefault="007829B7" w:rsidP="004A5EB4">
            <w:pPr>
              <w:jc w:val="center"/>
            </w:pPr>
            <w:r>
              <w:rPr>
                <w:rFonts w:ascii="Times New Roman" w:hAnsi="Times New Roman"/>
                <w:sz w:val="19"/>
              </w:rPr>
              <w:t>34</w:t>
            </w:r>
          </w:p>
        </w:tc>
        <w:tc>
          <w:tcPr>
            <w:tcW w:w="590" w:type="dxa"/>
          </w:tcPr>
          <w:p w14:paraId="44B44B6B" w14:textId="77777777" w:rsidR="007829B7" w:rsidRDefault="007829B7" w:rsidP="004A5EB4">
            <w:pPr>
              <w:jc w:val="center"/>
            </w:pPr>
            <w:r>
              <w:rPr>
                <w:rFonts w:ascii="Times New Roman" w:hAnsi="Times New Roman"/>
                <w:sz w:val="19"/>
              </w:rPr>
              <w:t>76</w:t>
            </w:r>
          </w:p>
        </w:tc>
        <w:tc>
          <w:tcPr>
            <w:tcW w:w="590" w:type="dxa"/>
          </w:tcPr>
          <w:p w14:paraId="53BE3138" w14:textId="77777777" w:rsidR="007829B7" w:rsidRDefault="007829B7" w:rsidP="004A5EB4">
            <w:pPr>
              <w:jc w:val="center"/>
            </w:pPr>
            <w:r>
              <w:rPr>
                <w:rFonts w:ascii="Times New Roman" w:hAnsi="Times New Roman"/>
                <w:b/>
                <w:sz w:val="19"/>
              </w:rPr>
              <w:t>4.43</w:t>
            </w:r>
          </w:p>
        </w:tc>
      </w:tr>
    </w:tbl>
    <w:p w14:paraId="1EC2E4AD" w14:textId="77777777" w:rsidR="007829B7" w:rsidRDefault="007829B7">
      <w:pPr>
        <w:jc w:val="right"/>
      </w:pPr>
    </w:p>
    <w:sectPr w:rsidR="007829B7"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02783888">
    <w:abstractNumId w:val="8"/>
  </w:num>
  <w:num w:numId="2" w16cid:durableId="426391413">
    <w:abstractNumId w:val="6"/>
  </w:num>
  <w:num w:numId="3" w16cid:durableId="519390039">
    <w:abstractNumId w:val="5"/>
  </w:num>
  <w:num w:numId="4" w16cid:durableId="948589646">
    <w:abstractNumId w:val="4"/>
  </w:num>
  <w:num w:numId="5" w16cid:durableId="1858422968">
    <w:abstractNumId w:val="7"/>
  </w:num>
  <w:num w:numId="6" w16cid:durableId="863593904">
    <w:abstractNumId w:val="3"/>
  </w:num>
  <w:num w:numId="7" w16cid:durableId="985016290">
    <w:abstractNumId w:val="2"/>
  </w:num>
  <w:num w:numId="8" w16cid:durableId="1515070601">
    <w:abstractNumId w:val="1"/>
  </w:num>
  <w:num w:numId="9" w16cid:durableId="143019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9639D"/>
    <w:rsid w:val="00326F90"/>
    <w:rsid w:val="005334A2"/>
    <w:rsid w:val="007829B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85DCD"/>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2026-05-22T12:33:00Z</dcterms:modified>
  <cp:category/>
</cp:coreProperties>
</file>