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31EA" w14:textId="77777777" w:rsidR="00A65305" w:rsidRPr="00E37A33" w:rsidRDefault="00000000">
      <w:pPr>
        <w:jc w:val="center"/>
      </w:pPr>
      <w:r w:rsidRPr="00E37A33">
        <w:rPr>
          <w:b/>
          <w:sz w:val="20"/>
        </w:rPr>
        <w:t>TOROS ÜNİVERSİTESİ — KARİYER VE ARAŞTIRMA MERKEZİ</w:t>
      </w:r>
    </w:p>
    <w:p w14:paraId="6926B5E6" w14:textId="77777777" w:rsidR="00A65305" w:rsidRPr="00E37A33" w:rsidRDefault="00000000">
      <w:pPr>
        <w:jc w:val="center"/>
      </w:pPr>
      <w:r w:rsidRPr="00E37A33">
        <w:rPr>
          <w:b/>
          <w:sz w:val="30"/>
        </w:rPr>
        <w:t>YENİ NESİL MENTÖRLÜK PROJESİ</w:t>
      </w:r>
    </w:p>
    <w:p w14:paraId="0D1D14DF" w14:textId="77777777" w:rsidR="00A65305" w:rsidRPr="00E37A33" w:rsidRDefault="00000000">
      <w:pPr>
        <w:jc w:val="center"/>
      </w:pPr>
      <w:r w:rsidRPr="00E37A33">
        <w:rPr>
          <w:sz w:val="20"/>
        </w:rPr>
        <w:t>Etkinlik Değerlendirme ve Memnuniyet Raporu  ·  27 Nisan 2024</w:t>
      </w:r>
    </w:p>
    <w:p w14:paraId="2FB65A19" w14:textId="77777777" w:rsidR="00A65305" w:rsidRPr="00E37A33" w:rsidRDefault="00A65305">
      <w:pPr>
        <w:pBdr>
          <w:bottom w:val="single" w:sz="4" w:space="1" w:color="DADCE0"/>
        </w:pBdr>
        <w:spacing w:before="80" w:after="80"/>
      </w:pPr>
    </w:p>
    <w:p w14:paraId="2032D644" w14:textId="77777777" w:rsidR="00A65305" w:rsidRPr="00E37A33" w:rsidRDefault="00000000">
      <w:pPr>
        <w:spacing w:before="200" w:after="140"/>
        <w:ind w:firstLine="567"/>
      </w:pPr>
      <w:r w:rsidRPr="00E37A33">
        <w:t>YENİ NESİL MENTÖRLÜK PROJESİ, 27 Nisan 2024 tarihinde TORKARMER koordinasyonuyla, öğrencilerin önceki etkinlik geri bildirimlerinde sıkça dile getirdiği birebir kariyer rehberliği talebine karşılık vermek amacıyla hayata geçirildi. 2023 anketlerinde öğrencilerin uzun vadeli kariyer takibi ve birebir mentörlük desteği istemesi üzerine kurgulanmıştır. Mentorluk programlarının öğrenci kariyer gelişimine sağladığı somut katkı göz önünde bulundurularak, program içeriği ve mentor profilleri özenle belirlendi.</w:t>
      </w:r>
    </w:p>
    <w:p w14:paraId="559CDF6C" w14:textId="77777777" w:rsidR="00A65305" w:rsidRPr="00E37A33" w:rsidRDefault="00000000">
      <w:pPr>
        <w:spacing w:before="160" w:after="140"/>
        <w:ind w:firstLine="567"/>
      </w:pPr>
      <w:r w:rsidRPr="00E37A33">
        <w:t>27 Nisan 2024'te Yeni Nesil Mentörlük Projesi hayata geçirilmiştir. Program kapsamında mentor-öğrenci eşleştirmeleri, katılımcıların akademik alanleri ve kariyer hedefleri dikkate alınarak gerçekleştirildi. Gerçekleştirilen birebir görüşmelerde mentorlar sektörel deneyimlerini ve kariyer yolculuklarını paylaşırken öğrencilerin somut sorularına yanıt verdi. Etkinlik; bireysel kariyer danışmanlığını, networking fırsatını ve uzun vadeli mentörlük ilişkilerinin temelini bir arada sunmasıyla dikkat çekti.</w:t>
      </w:r>
    </w:p>
    <w:p w14:paraId="30F62197" w14:textId="77777777" w:rsidR="00A65305" w:rsidRPr="00E37A33" w:rsidRDefault="00000000">
      <w:pPr>
        <w:spacing w:before="160" w:after="140"/>
        <w:ind w:firstLine="567"/>
      </w:pPr>
      <w:proofErr w:type="spellStart"/>
      <w:r w:rsidRPr="00E37A33">
        <w:t>Etkinliğe</w:t>
      </w:r>
      <w:proofErr w:type="spellEnd"/>
      <w:r w:rsidRPr="00E37A33">
        <w:t xml:space="preserve"> </w:t>
      </w:r>
      <w:proofErr w:type="spellStart"/>
      <w:r w:rsidRPr="00E37A33">
        <w:t>toplamda</w:t>
      </w:r>
      <w:proofErr w:type="spellEnd"/>
      <w:r w:rsidRPr="00E37A33">
        <w:t xml:space="preserve"> 53 </w:t>
      </w:r>
      <w:proofErr w:type="spellStart"/>
      <w:r w:rsidRPr="00E37A33">
        <w:t>kişi</w:t>
      </w:r>
      <w:proofErr w:type="spellEnd"/>
      <w:r w:rsidRPr="00E37A33">
        <w:t xml:space="preserve"> katıldı; katılımcıların büyük çoğunluğunu 48 öğrenci oluşturdu. Etkinliğe 5 akademik/idari personel eşlik etti. Etkinlik sonrası uygulanan memnuniyet anketi, 50 katılımcı tarafından yanıtlandı (anket katılım oranı: %94). Anketin geniş bir yanıt tabanına ulaşması, değerlendirmelerin temsil gücünü artırmakta ve etkinlik kalitesine ilişkin çıkarımlara daha sağlam bir zemin oluşturmaktadır.</w:t>
      </w:r>
    </w:p>
    <w:p w14:paraId="7D8AE9F6" w14:textId="77777777" w:rsidR="00A65305" w:rsidRPr="00E37A33" w:rsidRDefault="00000000">
      <w:pPr>
        <w:spacing w:before="160" w:after="140"/>
        <w:ind w:firstLine="567"/>
      </w:pPr>
      <w:proofErr w:type="spellStart"/>
      <w:r w:rsidRPr="00E37A33">
        <w:t>Etkinlik</w:t>
      </w:r>
      <w:proofErr w:type="spellEnd"/>
      <w:r w:rsidRPr="00E37A33">
        <w:t xml:space="preserve"> </w:t>
      </w:r>
      <w:proofErr w:type="spellStart"/>
      <w:r w:rsidRPr="00E37A33">
        <w:t>içeriği</w:t>
      </w:r>
      <w:proofErr w:type="spellEnd"/>
      <w:r w:rsidRPr="00E37A33">
        <w:t xml:space="preserve"> </w:t>
      </w:r>
      <w:proofErr w:type="spellStart"/>
      <w:r w:rsidRPr="00E37A33">
        <w:t>iki</w:t>
      </w:r>
      <w:proofErr w:type="spellEnd"/>
      <w:r w:rsidRPr="00E37A33">
        <w:t xml:space="preserve"> </w:t>
      </w:r>
      <w:proofErr w:type="spellStart"/>
      <w:r w:rsidRPr="00E37A33">
        <w:t>temel</w:t>
      </w:r>
      <w:proofErr w:type="spellEnd"/>
      <w:r w:rsidRPr="00E37A33">
        <w:t xml:space="preserve"> boyutta ele alındı: programın genel içerik kalitesi ve konuşmacı/eğitmen performansı. Genel içerik memnuniyeti 4.60/5.00 olarak ölçülürken, katılımcıların %98'i bu boyutta 4 veya 5 puan verdi. Konuşmacı ve sunum kalitesi ise 4.50/5.00 ortalama ile değerlendirildi; %96'si yüksek memnuniyet bildirdi. Genel içerik memnuniyetinin konuşmacı puanının üzerinde kalması, programın bütünlük ve yapısının sunum tekniğinden daha güçlü algılandığına işaret etmektedir. Her iki boyutun bütünleşik ortalaması 4.55/5.00 düzeyinde gerçekleşmesiyle içerik kalitesinin genel olarak yüksek bir değerlendirmeye konu olduğu görülmektedir. Anketlerde program memnuniyeti %96.4 ölçülürken, mentör havuzunun daha da genişletilmesi ve sanayi liderlerinin katılımının artırılması talep edilmiştir.</w:t>
      </w:r>
    </w:p>
    <w:p w14:paraId="105505EE" w14:textId="77777777" w:rsidR="00A65305" w:rsidRPr="00E37A33" w:rsidRDefault="00000000">
      <w:pPr>
        <w:spacing w:before="160" w:after="140"/>
        <w:ind w:firstLine="567"/>
      </w:pPr>
      <w:proofErr w:type="spellStart"/>
      <w:r w:rsidRPr="00E37A33">
        <w:t>Anket</w:t>
      </w:r>
      <w:proofErr w:type="spellEnd"/>
      <w:r w:rsidRPr="00E37A33">
        <w:t xml:space="preserve"> </w:t>
      </w:r>
      <w:proofErr w:type="spellStart"/>
      <w:r w:rsidRPr="00E37A33">
        <w:t>verileri</w:t>
      </w:r>
      <w:proofErr w:type="spellEnd"/>
      <w:r w:rsidRPr="00E37A33">
        <w:t xml:space="preserve"> </w:t>
      </w:r>
      <w:proofErr w:type="spellStart"/>
      <w:r w:rsidRPr="00E37A33">
        <w:t>beş</w:t>
      </w:r>
      <w:proofErr w:type="spellEnd"/>
      <w:r w:rsidRPr="00E37A33">
        <w:t xml:space="preserve"> </w:t>
      </w:r>
      <w:proofErr w:type="spellStart"/>
      <w:r w:rsidRPr="00E37A33">
        <w:t>farklı</w:t>
      </w:r>
      <w:proofErr w:type="spellEnd"/>
      <w:r w:rsidRPr="00E37A33">
        <w:t xml:space="preserve"> boyut üzerinden analiz edildiğinde etkinliğin yüksek düzeyde bir memnuniyet ile sonuçlandığı görülmektedir (5 boyutun ağırlıksız ortalaması: 4.58/5.00). Kariyer katkısı boyutunda katılımcılar 4.70/5.00 ortalama verdi; bu oran, etkinliğin mesleki gelişime yüksek bir katkı sağladığını ortaya koymaktadır. Katılımcıların %94'i kariyer katkısını yüksek (4-5 puan) olarak değerlendirdi. Organizasyon boyutunda ise elde edilen 4.66/5.00 ortalama, lojistik ve planlama açısından yüksek bir deneyim yaşandığına işaret etmektedir. Genel memnuniyet ve yeniden katılım isteği sorusunda 4.46/5.00 ortalama elde edildi; katılımcıların </w:t>
      </w:r>
      <w:r w:rsidRPr="00E37A33">
        <w:lastRenderedPageBreak/>
        <w:t>%84'i bu etkinliğe benzer programlara tekrar iştirak etmek istediklerini belirtti. Bu oran, etkinliğin bıraktığı kalıcı izlenim açısından güçlü bir gösterge niteliği taşımaktadır.</w:t>
      </w:r>
    </w:p>
    <w:p w14:paraId="29C04F1B" w14:textId="77777777" w:rsidR="00A65305" w:rsidRPr="00E37A33" w:rsidRDefault="00000000">
      <w:pPr>
        <w:spacing w:before="160" w:after="140"/>
        <w:ind w:firstLine="567"/>
      </w:pPr>
      <w:r w:rsidRPr="00E37A33">
        <w:t xml:space="preserve">Açık </w:t>
      </w:r>
      <w:proofErr w:type="spellStart"/>
      <w:r w:rsidRPr="00E37A33">
        <w:t>uçlu</w:t>
      </w:r>
      <w:proofErr w:type="spellEnd"/>
      <w:r w:rsidRPr="00E37A33">
        <w:t xml:space="preserve"> </w:t>
      </w:r>
      <w:proofErr w:type="spellStart"/>
      <w:r w:rsidRPr="00E37A33">
        <w:t>anket</w:t>
      </w:r>
      <w:proofErr w:type="spellEnd"/>
      <w:r w:rsidRPr="00E37A33">
        <w:t xml:space="preserve"> </w:t>
      </w:r>
      <w:proofErr w:type="spellStart"/>
      <w:r w:rsidRPr="00E37A33">
        <w:t>sorularına</w:t>
      </w:r>
      <w:proofErr w:type="spellEnd"/>
      <w:r w:rsidRPr="00E37A33">
        <w:t xml:space="preserve"> verilen yanıtlar incelendiğinde geri bildirimlerin yaklaşık %80'inin olumlu veya takdire değer unsurları ön plana çıkardığı, %20'inin ise iyileştirmeye açık alanları işaret ettiği görülmektedir. Öğrencilerin en çok vurguladığı olumlu unsurlar arasında mentorlerin deneyim aktarımındaki içtenliği ve eşleştirme kalitesi yer aldı. Geliştirme önerileri arasında ise görüşme sürelerinin uzatılması ve sıklığın artırılması öne çıktı. Bu geri bildirimler, etkinliğin güçlü yönlerini pekiştiren ve gelişime açık alanlarını açıkça ortaya koyan somut veriler olarak değerlendirilmektedir.</w:t>
      </w:r>
    </w:p>
    <w:p w14:paraId="01F280F3" w14:textId="77777777" w:rsidR="00A65305" w:rsidRDefault="00000000">
      <w:pPr>
        <w:spacing w:before="160" w:after="140"/>
        <w:ind w:firstLine="567"/>
      </w:pPr>
      <w:proofErr w:type="spellStart"/>
      <w:r w:rsidRPr="00E37A33">
        <w:t>Mentorluk</w:t>
      </w:r>
      <w:proofErr w:type="spellEnd"/>
      <w:r w:rsidRPr="00E37A33">
        <w:t xml:space="preserve"> </w:t>
      </w:r>
      <w:proofErr w:type="spellStart"/>
      <w:r w:rsidRPr="00E37A33">
        <w:t>programının</w:t>
      </w:r>
      <w:proofErr w:type="spellEnd"/>
      <w:r w:rsidRPr="00E37A33">
        <w:t xml:space="preserve"> </w:t>
      </w:r>
      <w:proofErr w:type="spellStart"/>
      <w:r w:rsidRPr="00E37A33">
        <w:t>güçlü</w:t>
      </w:r>
      <w:proofErr w:type="spellEnd"/>
      <w:r w:rsidRPr="00E37A33">
        <w:t xml:space="preserve"> </w:t>
      </w:r>
      <w:proofErr w:type="spellStart"/>
      <w:r w:rsidRPr="00E37A33">
        <w:t>geri</w:t>
      </w:r>
      <w:proofErr w:type="spellEnd"/>
      <w:r w:rsidRPr="00E37A33">
        <w:t xml:space="preserve"> bildirimleri çerçevesinde, Bu doğrultuda 2025 yılı 'Sektör Kampüste' mentörlük programı kapsamında iş dünyası liderlerinden oluşan mentör havuzumuz genişletilmiştir. Etkinliğin en düşük değerlendirme aldığı genel memnuniyet ve yeniden katılım isteği boyutundaki geri bildirimler (4.46/5.00) sonraki planlamada öncelikli odak alanı olarak ele alınacak; kariyer katkısı boyutundaki güçlü performans (4.70/5.00) ise sürdürülmesi ve geliştirilmesi gereken </w:t>
      </w:r>
      <w:proofErr w:type="spellStart"/>
      <w:r w:rsidRPr="00E37A33">
        <w:t>bir</w:t>
      </w:r>
      <w:proofErr w:type="spellEnd"/>
      <w:r w:rsidRPr="00E37A33">
        <w:t xml:space="preserve"> </w:t>
      </w:r>
      <w:proofErr w:type="spellStart"/>
      <w:r w:rsidRPr="00E37A33">
        <w:t>kazanım</w:t>
      </w:r>
      <w:proofErr w:type="spellEnd"/>
      <w:r w:rsidRPr="00E37A33">
        <w:t xml:space="preserve"> </w:t>
      </w:r>
      <w:proofErr w:type="spellStart"/>
      <w:r w:rsidRPr="00E37A33">
        <w:t>olarak</w:t>
      </w:r>
      <w:proofErr w:type="spellEnd"/>
      <w:r w:rsidRPr="00E37A33">
        <w:t xml:space="preserve"> </w:t>
      </w:r>
      <w:proofErr w:type="spellStart"/>
      <w:r w:rsidRPr="00E37A33">
        <w:t>korunacaktır</w:t>
      </w:r>
      <w:proofErr w:type="spellEnd"/>
      <w:r w:rsidRPr="00E37A33">
        <w:t>.</w:t>
      </w:r>
    </w:p>
    <w:p w14:paraId="6358CCF1" w14:textId="77777777" w:rsidR="00E37A33" w:rsidRDefault="00E37A33">
      <w:pPr>
        <w:spacing w:before="160" w:after="140"/>
        <w:ind w:firstLine="567"/>
      </w:pPr>
    </w:p>
    <w:tbl>
      <w:tblPr>
        <w:tblW w:w="0" w:type="auto"/>
        <w:jc w:val="center"/>
        <w:tblBorders>
          <w:top w:val="single" w:sz="6" w:space="0" w:color="333333"/>
          <w:bottom w:val="single" w:sz="6" w:space="0" w:color="333333"/>
          <w:insideH w:val="single" w:sz="4" w:space="0" w:color="CCCCCC"/>
        </w:tblBorders>
        <w:tblLook w:val="04A0" w:firstRow="1" w:lastRow="0" w:firstColumn="1" w:lastColumn="0" w:noHBand="0" w:noVBand="1"/>
      </w:tblPr>
      <w:tblGrid>
        <w:gridCol w:w="1968"/>
        <w:gridCol w:w="3937"/>
      </w:tblGrid>
      <w:tr w:rsidR="00E37A33" w14:paraId="6D2252E7" w14:textId="77777777" w:rsidTr="004A5EB4">
        <w:trPr>
          <w:jc w:val="center"/>
        </w:trPr>
        <w:tc>
          <w:tcPr>
            <w:tcW w:w="1968" w:type="dxa"/>
            <w:shd w:val="clear" w:color="auto" w:fill="F9F9F9"/>
          </w:tcPr>
          <w:p w14:paraId="0C2199FA" w14:textId="77777777" w:rsidR="00E37A33" w:rsidRDefault="00E37A33" w:rsidP="004A5EB4">
            <w:proofErr w:type="spellStart"/>
            <w:r>
              <w:rPr>
                <w:rFonts w:ascii="Times New Roman" w:hAnsi="Times New Roman"/>
                <w:b/>
                <w:sz w:val="20"/>
              </w:rPr>
              <w:t>Etkinlik</w:t>
            </w:r>
            <w:proofErr w:type="spellEnd"/>
            <w:r>
              <w:rPr>
                <w:rFonts w:ascii="Times New Roman" w:hAnsi="Times New Roman"/>
                <w:b/>
                <w:sz w:val="20"/>
              </w:rPr>
              <w:t xml:space="preserve"> </w:t>
            </w:r>
            <w:proofErr w:type="spellStart"/>
            <w:r>
              <w:rPr>
                <w:rFonts w:ascii="Times New Roman" w:hAnsi="Times New Roman"/>
                <w:b/>
                <w:sz w:val="20"/>
              </w:rPr>
              <w:t>Tarihi</w:t>
            </w:r>
            <w:proofErr w:type="spellEnd"/>
          </w:p>
        </w:tc>
        <w:tc>
          <w:tcPr>
            <w:tcW w:w="3937" w:type="dxa"/>
          </w:tcPr>
          <w:p w14:paraId="001CD4F4" w14:textId="77777777" w:rsidR="00E37A33" w:rsidRDefault="00E37A33" w:rsidP="004A5EB4">
            <w:r>
              <w:rPr>
                <w:rFonts w:ascii="Times New Roman" w:hAnsi="Times New Roman"/>
                <w:sz w:val="20"/>
              </w:rPr>
              <w:t>27 Nisan 2024</w:t>
            </w:r>
          </w:p>
        </w:tc>
      </w:tr>
      <w:tr w:rsidR="00E37A33" w14:paraId="75FF188D" w14:textId="77777777" w:rsidTr="004A5EB4">
        <w:trPr>
          <w:jc w:val="center"/>
        </w:trPr>
        <w:tc>
          <w:tcPr>
            <w:tcW w:w="1968" w:type="dxa"/>
            <w:shd w:val="clear" w:color="auto" w:fill="F9F9F9"/>
          </w:tcPr>
          <w:p w14:paraId="58D365F3" w14:textId="77777777" w:rsidR="00E37A33" w:rsidRDefault="00E37A33" w:rsidP="004A5EB4">
            <w:proofErr w:type="spellStart"/>
            <w:r>
              <w:rPr>
                <w:rFonts w:ascii="Times New Roman" w:hAnsi="Times New Roman"/>
                <w:b/>
                <w:sz w:val="20"/>
              </w:rPr>
              <w:t>Katılımcı</w:t>
            </w:r>
            <w:proofErr w:type="spellEnd"/>
            <w:r>
              <w:rPr>
                <w:rFonts w:ascii="Times New Roman" w:hAnsi="Times New Roman"/>
                <w:b/>
                <w:sz w:val="20"/>
              </w:rPr>
              <w:t xml:space="preserve"> </w:t>
            </w:r>
            <w:proofErr w:type="spellStart"/>
            <w:r>
              <w:rPr>
                <w:rFonts w:ascii="Times New Roman" w:hAnsi="Times New Roman"/>
                <w:b/>
                <w:sz w:val="20"/>
              </w:rPr>
              <w:t>Sayısı</w:t>
            </w:r>
            <w:proofErr w:type="spellEnd"/>
          </w:p>
        </w:tc>
        <w:tc>
          <w:tcPr>
            <w:tcW w:w="3937" w:type="dxa"/>
          </w:tcPr>
          <w:p w14:paraId="40FAF112" w14:textId="3D08F91B" w:rsidR="00E37A33" w:rsidRDefault="00E37A33" w:rsidP="004A5EB4">
            <w:r>
              <w:rPr>
                <w:rFonts w:ascii="Times New Roman" w:hAnsi="Times New Roman"/>
                <w:sz w:val="20"/>
              </w:rPr>
              <w:t xml:space="preserve">53 </w:t>
            </w:r>
            <w:proofErr w:type="spellStart"/>
            <w:r>
              <w:rPr>
                <w:rFonts w:ascii="Times New Roman" w:hAnsi="Times New Roman"/>
                <w:sz w:val="20"/>
              </w:rPr>
              <w:t>Kişi</w:t>
            </w:r>
            <w:proofErr w:type="spellEnd"/>
            <w:r>
              <w:rPr>
                <w:rFonts w:ascii="Times New Roman" w:hAnsi="Times New Roman"/>
                <w:sz w:val="20"/>
              </w:rPr>
              <w:t xml:space="preserve"> </w:t>
            </w:r>
          </w:p>
        </w:tc>
      </w:tr>
      <w:tr w:rsidR="00E37A33" w14:paraId="42AAF023" w14:textId="77777777" w:rsidTr="004A5EB4">
        <w:trPr>
          <w:jc w:val="center"/>
        </w:trPr>
        <w:tc>
          <w:tcPr>
            <w:tcW w:w="1968" w:type="dxa"/>
            <w:shd w:val="clear" w:color="auto" w:fill="F9F9F9"/>
          </w:tcPr>
          <w:p w14:paraId="565DD155" w14:textId="77777777" w:rsidR="00E37A33" w:rsidRDefault="00E37A33" w:rsidP="004A5EB4">
            <w:proofErr w:type="spellStart"/>
            <w:r>
              <w:rPr>
                <w:rFonts w:ascii="Times New Roman" w:hAnsi="Times New Roman"/>
                <w:b/>
                <w:sz w:val="20"/>
              </w:rPr>
              <w:t>Anket</w:t>
            </w:r>
            <w:proofErr w:type="spellEnd"/>
            <w:r>
              <w:rPr>
                <w:rFonts w:ascii="Times New Roman" w:hAnsi="Times New Roman"/>
                <w:b/>
                <w:sz w:val="20"/>
              </w:rPr>
              <w:t xml:space="preserve"> </w:t>
            </w:r>
            <w:proofErr w:type="spellStart"/>
            <w:r>
              <w:rPr>
                <w:rFonts w:ascii="Times New Roman" w:hAnsi="Times New Roman"/>
                <w:b/>
                <w:sz w:val="20"/>
              </w:rPr>
              <w:t>Yanıt</w:t>
            </w:r>
            <w:proofErr w:type="spellEnd"/>
            <w:r>
              <w:rPr>
                <w:rFonts w:ascii="Times New Roman" w:hAnsi="Times New Roman"/>
                <w:b/>
                <w:sz w:val="20"/>
              </w:rPr>
              <w:t xml:space="preserve"> </w:t>
            </w:r>
            <w:proofErr w:type="spellStart"/>
            <w:r>
              <w:rPr>
                <w:rFonts w:ascii="Times New Roman" w:hAnsi="Times New Roman"/>
                <w:b/>
                <w:sz w:val="20"/>
              </w:rPr>
              <w:t>Sayısı</w:t>
            </w:r>
            <w:proofErr w:type="spellEnd"/>
          </w:p>
        </w:tc>
        <w:tc>
          <w:tcPr>
            <w:tcW w:w="3937" w:type="dxa"/>
          </w:tcPr>
          <w:p w14:paraId="68348A4F" w14:textId="77777777" w:rsidR="00E37A33" w:rsidRDefault="00E37A33" w:rsidP="004A5EB4">
            <w:r>
              <w:rPr>
                <w:rFonts w:ascii="Times New Roman" w:hAnsi="Times New Roman"/>
                <w:sz w:val="20"/>
              </w:rPr>
              <w:t xml:space="preserve">50 </w:t>
            </w:r>
            <w:proofErr w:type="spellStart"/>
            <w:r>
              <w:rPr>
                <w:rFonts w:ascii="Times New Roman" w:hAnsi="Times New Roman"/>
                <w:sz w:val="20"/>
              </w:rPr>
              <w:t>Katılımcı</w:t>
            </w:r>
            <w:proofErr w:type="spellEnd"/>
          </w:p>
        </w:tc>
      </w:tr>
      <w:tr w:rsidR="00E37A33" w14:paraId="2E7CE864" w14:textId="77777777" w:rsidTr="004A5EB4">
        <w:trPr>
          <w:jc w:val="center"/>
        </w:trPr>
        <w:tc>
          <w:tcPr>
            <w:tcW w:w="1968" w:type="dxa"/>
            <w:shd w:val="clear" w:color="auto" w:fill="F9F9F9"/>
          </w:tcPr>
          <w:p w14:paraId="32CB36B9" w14:textId="77777777" w:rsidR="00E37A33" w:rsidRDefault="00E37A33" w:rsidP="004A5EB4">
            <w:proofErr w:type="spellStart"/>
            <w:r>
              <w:rPr>
                <w:rFonts w:ascii="Times New Roman" w:hAnsi="Times New Roman"/>
                <w:b/>
                <w:sz w:val="20"/>
              </w:rPr>
              <w:t>Katılım</w:t>
            </w:r>
            <w:proofErr w:type="spellEnd"/>
            <w:r>
              <w:rPr>
                <w:rFonts w:ascii="Times New Roman" w:hAnsi="Times New Roman"/>
                <w:b/>
                <w:sz w:val="20"/>
              </w:rPr>
              <w:t xml:space="preserve"> / </w:t>
            </w:r>
            <w:proofErr w:type="spellStart"/>
            <w:r>
              <w:rPr>
                <w:rFonts w:ascii="Times New Roman" w:hAnsi="Times New Roman"/>
                <w:b/>
                <w:sz w:val="20"/>
              </w:rPr>
              <w:t>Anket</w:t>
            </w:r>
            <w:proofErr w:type="spellEnd"/>
            <w:r>
              <w:rPr>
                <w:rFonts w:ascii="Times New Roman" w:hAnsi="Times New Roman"/>
                <w:b/>
                <w:sz w:val="20"/>
              </w:rPr>
              <w:t xml:space="preserve"> </w:t>
            </w:r>
            <w:proofErr w:type="spellStart"/>
            <w:r>
              <w:rPr>
                <w:rFonts w:ascii="Times New Roman" w:hAnsi="Times New Roman"/>
                <w:b/>
                <w:sz w:val="20"/>
              </w:rPr>
              <w:t>Dönüş</w:t>
            </w:r>
            <w:proofErr w:type="spellEnd"/>
            <w:r>
              <w:rPr>
                <w:rFonts w:ascii="Times New Roman" w:hAnsi="Times New Roman"/>
                <w:b/>
                <w:sz w:val="20"/>
              </w:rPr>
              <w:t xml:space="preserve"> </w:t>
            </w:r>
            <w:proofErr w:type="spellStart"/>
            <w:r>
              <w:rPr>
                <w:rFonts w:ascii="Times New Roman" w:hAnsi="Times New Roman"/>
                <w:b/>
                <w:sz w:val="20"/>
              </w:rPr>
              <w:t>Oranı</w:t>
            </w:r>
            <w:proofErr w:type="spellEnd"/>
          </w:p>
        </w:tc>
        <w:tc>
          <w:tcPr>
            <w:tcW w:w="3937" w:type="dxa"/>
          </w:tcPr>
          <w:p w14:paraId="38FF200A" w14:textId="77777777" w:rsidR="00E37A33" w:rsidRDefault="00E37A33" w:rsidP="004A5EB4">
            <w:r>
              <w:rPr>
                <w:rFonts w:ascii="Times New Roman" w:hAnsi="Times New Roman"/>
                <w:sz w:val="20"/>
              </w:rPr>
              <w:t>%94.0</w:t>
            </w:r>
          </w:p>
        </w:tc>
      </w:tr>
      <w:tr w:rsidR="00E37A33" w14:paraId="3C4834BC" w14:textId="77777777" w:rsidTr="004A5EB4">
        <w:trPr>
          <w:jc w:val="center"/>
        </w:trPr>
        <w:tc>
          <w:tcPr>
            <w:tcW w:w="1968" w:type="dxa"/>
            <w:shd w:val="clear" w:color="auto" w:fill="F9F9F9"/>
          </w:tcPr>
          <w:p w14:paraId="08EC061E" w14:textId="77777777" w:rsidR="00E37A33" w:rsidRDefault="00E37A33" w:rsidP="004A5EB4">
            <w:r>
              <w:rPr>
                <w:rFonts w:ascii="Times New Roman" w:hAnsi="Times New Roman"/>
                <w:b/>
                <w:sz w:val="20"/>
              </w:rPr>
              <w:t xml:space="preserve">Genel </w:t>
            </w:r>
            <w:proofErr w:type="spellStart"/>
            <w:r>
              <w:rPr>
                <w:rFonts w:ascii="Times New Roman" w:hAnsi="Times New Roman"/>
                <w:b/>
                <w:sz w:val="20"/>
              </w:rPr>
              <w:t>Ortalama</w:t>
            </w:r>
            <w:proofErr w:type="spellEnd"/>
            <w:r>
              <w:rPr>
                <w:rFonts w:ascii="Times New Roman" w:hAnsi="Times New Roman"/>
                <w:b/>
                <w:sz w:val="20"/>
              </w:rPr>
              <w:t xml:space="preserve"> </w:t>
            </w:r>
            <w:proofErr w:type="spellStart"/>
            <w:r>
              <w:rPr>
                <w:rFonts w:ascii="Times New Roman" w:hAnsi="Times New Roman"/>
                <w:b/>
                <w:sz w:val="20"/>
              </w:rPr>
              <w:t>Memnuniyet</w:t>
            </w:r>
            <w:proofErr w:type="spellEnd"/>
          </w:p>
        </w:tc>
        <w:tc>
          <w:tcPr>
            <w:tcW w:w="3937" w:type="dxa"/>
          </w:tcPr>
          <w:p w14:paraId="61B372CE" w14:textId="77777777" w:rsidR="00E37A33" w:rsidRDefault="00E37A33" w:rsidP="004A5EB4">
            <w:r>
              <w:rPr>
                <w:rFonts w:ascii="Times New Roman" w:hAnsi="Times New Roman"/>
                <w:sz w:val="20"/>
              </w:rPr>
              <w:t>4.58 / 5.00</w:t>
            </w:r>
          </w:p>
        </w:tc>
      </w:tr>
    </w:tbl>
    <w:p w14:paraId="05CF3EE4" w14:textId="77777777" w:rsidR="00E37A33" w:rsidRDefault="00E37A33">
      <w:pPr>
        <w:spacing w:before="160" w:after="140"/>
        <w:ind w:firstLine="567"/>
      </w:pPr>
    </w:p>
    <w:tbl>
      <w:tblPr>
        <w:tblW w:w="0" w:type="auto"/>
        <w:jc w:val="center"/>
        <w:tblBorders>
          <w:top w:val="single" w:sz="6" w:space="0" w:color="333333"/>
          <w:bottom w:val="single" w:sz="6" w:space="0" w:color="333333"/>
          <w:insideH w:val="single" w:sz="4" w:space="0" w:color="CCCCCC"/>
        </w:tblBorders>
        <w:tblLook w:val="04A0" w:firstRow="1" w:lastRow="0" w:firstColumn="1" w:lastColumn="0" w:noHBand="0" w:noVBand="1"/>
      </w:tblPr>
      <w:tblGrid>
        <w:gridCol w:w="1771"/>
        <w:gridCol w:w="472"/>
        <w:gridCol w:w="472"/>
        <w:gridCol w:w="472"/>
        <w:gridCol w:w="472"/>
        <w:gridCol w:w="472"/>
        <w:gridCol w:w="850"/>
        <w:gridCol w:w="590"/>
      </w:tblGrid>
      <w:tr w:rsidR="00E37A33" w14:paraId="0AE571D2" w14:textId="77777777" w:rsidTr="004A5EB4">
        <w:trPr>
          <w:jc w:val="center"/>
        </w:trPr>
        <w:tc>
          <w:tcPr>
            <w:tcW w:w="1771" w:type="dxa"/>
            <w:shd w:val="clear" w:color="auto" w:fill="ECECEC"/>
          </w:tcPr>
          <w:p w14:paraId="3C0E53B2" w14:textId="77777777" w:rsidR="00E37A33" w:rsidRDefault="00E37A33" w:rsidP="004A5EB4">
            <w:r>
              <w:rPr>
                <w:rFonts w:ascii="Times New Roman" w:hAnsi="Times New Roman"/>
                <w:b/>
                <w:sz w:val="19"/>
              </w:rPr>
              <w:t xml:space="preserve">Soru </w:t>
            </w:r>
            <w:proofErr w:type="spellStart"/>
            <w:r>
              <w:rPr>
                <w:rFonts w:ascii="Times New Roman" w:hAnsi="Times New Roman"/>
                <w:b/>
                <w:sz w:val="19"/>
              </w:rPr>
              <w:t>Boyutu</w:t>
            </w:r>
            <w:proofErr w:type="spellEnd"/>
          </w:p>
        </w:tc>
        <w:tc>
          <w:tcPr>
            <w:tcW w:w="472" w:type="dxa"/>
            <w:shd w:val="clear" w:color="auto" w:fill="ECECEC"/>
          </w:tcPr>
          <w:p w14:paraId="0CADAB1C" w14:textId="77777777" w:rsidR="00E37A33" w:rsidRDefault="00E37A33" w:rsidP="004A5EB4">
            <w:r>
              <w:rPr>
                <w:rFonts w:ascii="Times New Roman" w:hAnsi="Times New Roman"/>
                <w:b/>
                <w:sz w:val="19"/>
              </w:rPr>
              <w:t>1</w:t>
            </w:r>
          </w:p>
        </w:tc>
        <w:tc>
          <w:tcPr>
            <w:tcW w:w="472" w:type="dxa"/>
            <w:shd w:val="clear" w:color="auto" w:fill="ECECEC"/>
          </w:tcPr>
          <w:p w14:paraId="7D8A03AC" w14:textId="77777777" w:rsidR="00E37A33" w:rsidRDefault="00E37A33" w:rsidP="004A5EB4">
            <w:r>
              <w:rPr>
                <w:rFonts w:ascii="Times New Roman" w:hAnsi="Times New Roman"/>
                <w:b/>
                <w:sz w:val="19"/>
              </w:rPr>
              <w:t>2</w:t>
            </w:r>
          </w:p>
        </w:tc>
        <w:tc>
          <w:tcPr>
            <w:tcW w:w="472" w:type="dxa"/>
            <w:shd w:val="clear" w:color="auto" w:fill="ECECEC"/>
          </w:tcPr>
          <w:p w14:paraId="32BBC7A9" w14:textId="77777777" w:rsidR="00E37A33" w:rsidRDefault="00E37A33" w:rsidP="004A5EB4">
            <w:r>
              <w:rPr>
                <w:rFonts w:ascii="Times New Roman" w:hAnsi="Times New Roman"/>
                <w:b/>
                <w:sz w:val="19"/>
              </w:rPr>
              <w:t>3</w:t>
            </w:r>
          </w:p>
        </w:tc>
        <w:tc>
          <w:tcPr>
            <w:tcW w:w="472" w:type="dxa"/>
            <w:shd w:val="clear" w:color="auto" w:fill="ECECEC"/>
          </w:tcPr>
          <w:p w14:paraId="68E760B4" w14:textId="77777777" w:rsidR="00E37A33" w:rsidRDefault="00E37A33" w:rsidP="004A5EB4">
            <w:r>
              <w:rPr>
                <w:rFonts w:ascii="Times New Roman" w:hAnsi="Times New Roman"/>
                <w:b/>
                <w:sz w:val="19"/>
              </w:rPr>
              <w:t>4</w:t>
            </w:r>
          </w:p>
        </w:tc>
        <w:tc>
          <w:tcPr>
            <w:tcW w:w="472" w:type="dxa"/>
            <w:shd w:val="clear" w:color="auto" w:fill="ECECEC"/>
          </w:tcPr>
          <w:p w14:paraId="0F75D015" w14:textId="77777777" w:rsidR="00E37A33" w:rsidRDefault="00E37A33" w:rsidP="004A5EB4">
            <w:r>
              <w:rPr>
                <w:rFonts w:ascii="Times New Roman" w:hAnsi="Times New Roman"/>
                <w:b/>
                <w:sz w:val="19"/>
              </w:rPr>
              <w:t>5</w:t>
            </w:r>
          </w:p>
        </w:tc>
        <w:tc>
          <w:tcPr>
            <w:tcW w:w="590" w:type="dxa"/>
            <w:shd w:val="clear" w:color="auto" w:fill="ECECEC"/>
          </w:tcPr>
          <w:p w14:paraId="35BC5E51" w14:textId="77777777" w:rsidR="00E37A33" w:rsidRDefault="00E37A33" w:rsidP="004A5EB4">
            <w:proofErr w:type="spellStart"/>
            <w:r>
              <w:rPr>
                <w:rFonts w:ascii="Times New Roman" w:hAnsi="Times New Roman"/>
                <w:b/>
                <w:sz w:val="19"/>
              </w:rPr>
              <w:t>Toplam</w:t>
            </w:r>
            <w:proofErr w:type="spellEnd"/>
          </w:p>
        </w:tc>
        <w:tc>
          <w:tcPr>
            <w:tcW w:w="590" w:type="dxa"/>
            <w:shd w:val="clear" w:color="auto" w:fill="ECECEC"/>
          </w:tcPr>
          <w:p w14:paraId="167B151B" w14:textId="77777777" w:rsidR="00E37A33" w:rsidRDefault="00E37A33" w:rsidP="004A5EB4">
            <w:r>
              <w:rPr>
                <w:rFonts w:ascii="Times New Roman" w:hAnsi="Times New Roman"/>
                <w:b/>
                <w:sz w:val="19"/>
              </w:rPr>
              <w:t>Ort.</w:t>
            </w:r>
          </w:p>
        </w:tc>
      </w:tr>
      <w:tr w:rsidR="00E37A33" w14:paraId="131597A5" w14:textId="77777777" w:rsidTr="004A5EB4">
        <w:trPr>
          <w:jc w:val="center"/>
        </w:trPr>
        <w:tc>
          <w:tcPr>
            <w:tcW w:w="1771" w:type="dxa"/>
          </w:tcPr>
          <w:p w14:paraId="1F4C43EE" w14:textId="77777777" w:rsidR="00E37A33" w:rsidRDefault="00E37A33" w:rsidP="004A5EB4">
            <w:r>
              <w:rPr>
                <w:rFonts w:ascii="Times New Roman" w:hAnsi="Times New Roman"/>
                <w:b/>
                <w:sz w:val="18"/>
              </w:rPr>
              <w:t xml:space="preserve">Genel </w:t>
            </w:r>
            <w:proofErr w:type="spellStart"/>
            <w:r>
              <w:rPr>
                <w:rFonts w:ascii="Times New Roman" w:hAnsi="Times New Roman"/>
                <w:b/>
                <w:sz w:val="18"/>
              </w:rPr>
              <w:t>İçerik</w:t>
            </w:r>
            <w:proofErr w:type="spellEnd"/>
            <w:r>
              <w:rPr>
                <w:rFonts w:ascii="Times New Roman" w:hAnsi="Times New Roman"/>
                <w:b/>
                <w:sz w:val="18"/>
              </w:rPr>
              <w:t xml:space="preserve"> </w:t>
            </w:r>
            <w:proofErr w:type="spellStart"/>
            <w:r>
              <w:rPr>
                <w:rFonts w:ascii="Times New Roman" w:hAnsi="Times New Roman"/>
                <w:b/>
                <w:sz w:val="18"/>
              </w:rPr>
              <w:t>Memnuniyeti</w:t>
            </w:r>
            <w:proofErr w:type="spellEnd"/>
          </w:p>
        </w:tc>
        <w:tc>
          <w:tcPr>
            <w:tcW w:w="472" w:type="dxa"/>
          </w:tcPr>
          <w:p w14:paraId="4BD6D59B" w14:textId="77777777" w:rsidR="00E37A33" w:rsidRDefault="00E37A33" w:rsidP="004A5EB4">
            <w:pPr>
              <w:jc w:val="center"/>
            </w:pPr>
            <w:r>
              <w:rPr>
                <w:rFonts w:ascii="Times New Roman" w:hAnsi="Times New Roman"/>
                <w:sz w:val="19"/>
              </w:rPr>
              <w:t>0</w:t>
            </w:r>
          </w:p>
        </w:tc>
        <w:tc>
          <w:tcPr>
            <w:tcW w:w="472" w:type="dxa"/>
          </w:tcPr>
          <w:p w14:paraId="0BCD747A" w14:textId="77777777" w:rsidR="00E37A33" w:rsidRDefault="00E37A33" w:rsidP="004A5EB4">
            <w:pPr>
              <w:jc w:val="center"/>
            </w:pPr>
            <w:r>
              <w:rPr>
                <w:rFonts w:ascii="Times New Roman" w:hAnsi="Times New Roman"/>
                <w:sz w:val="19"/>
              </w:rPr>
              <w:t>0</w:t>
            </w:r>
          </w:p>
        </w:tc>
        <w:tc>
          <w:tcPr>
            <w:tcW w:w="472" w:type="dxa"/>
          </w:tcPr>
          <w:p w14:paraId="63FA25A3" w14:textId="77777777" w:rsidR="00E37A33" w:rsidRDefault="00E37A33" w:rsidP="004A5EB4">
            <w:pPr>
              <w:jc w:val="center"/>
            </w:pPr>
            <w:r>
              <w:rPr>
                <w:rFonts w:ascii="Times New Roman" w:hAnsi="Times New Roman"/>
                <w:sz w:val="19"/>
              </w:rPr>
              <w:t>1</w:t>
            </w:r>
          </w:p>
        </w:tc>
        <w:tc>
          <w:tcPr>
            <w:tcW w:w="472" w:type="dxa"/>
          </w:tcPr>
          <w:p w14:paraId="0E82DCB2" w14:textId="77777777" w:rsidR="00E37A33" w:rsidRDefault="00E37A33" w:rsidP="004A5EB4">
            <w:pPr>
              <w:jc w:val="center"/>
            </w:pPr>
            <w:r>
              <w:rPr>
                <w:rFonts w:ascii="Times New Roman" w:hAnsi="Times New Roman"/>
                <w:sz w:val="19"/>
              </w:rPr>
              <w:t>20</w:t>
            </w:r>
          </w:p>
        </w:tc>
        <w:tc>
          <w:tcPr>
            <w:tcW w:w="472" w:type="dxa"/>
          </w:tcPr>
          <w:p w14:paraId="4D596384" w14:textId="77777777" w:rsidR="00E37A33" w:rsidRDefault="00E37A33" w:rsidP="004A5EB4">
            <w:pPr>
              <w:jc w:val="center"/>
            </w:pPr>
            <w:r>
              <w:rPr>
                <w:rFonts w:ascii="Times New Roman" w:hAnsi="Times New Roman"/>
                <w:sz w:val="19"/>
              </w:rPr>
              <w:t>29</w:t>
            </w:r>
          </w:p>
        </w:tc>
        <w:tc>
          <w:tcPr>
            <w:tcW w:w="590" w:type="dxa"/>
          </w:tcPr>
          <w:p w14:paraId="794BAA66" w14:textId="77777777" w:rsidR="00E37A33" w:rsidRDefault="00E37A33" w:rsidP="004A5EB4">
            <w:pPr>
              <w:jc w:val="center"/>
            </w:pPr>
            <w:r>
              <w:rPr>
                <w:rFonts w:ascii="Times New Roman" w:hAnsi="Times New Roman"/>
                <w:sz w:val="19"/>
              </w:rPr>
              <w:t>50</w:t>
            </w:r>
          </w:p>
        </w:tc>
        <w:tc>
          <w:tcPr>
            <w:tcW w:w="590" w:type="dxa"/>
          </w:tcPr>
          <w:p w14:paraId="66D4F706" w14:textId="77777777" w:rsidR="00E37A33" w:rsidRDefault="00E37A33" w:rsidP="004A5EB4">
            <w:pPr>
              <w:jc w:val="center"/>
            </w:pPr>
            <w:r>
              <w:rPr>
                <w:rFonts w:ascii="Times New Roman" w:hAnsi="Times New Roman"/>
                <w:b/>
                <w:sz w:val="19"/>
              </w:rPr>
              <w:t>4.60</w:t>
            </w:r>
          </w:p>
        </w:tc>
      </w:tr>
      <w:tr w:rsidR="00E37A33" w14:paraId="6C987BB9" w14:textId="77777777" w:rsidTr="004A5EB4">
        <w:trPr>
          <w:jc w:val="center"/>
        </w:trPr>
        <w:tc>
          <w:tcPr>
            <w:tcW w:w="1771" w:type="dxa"/>
          </w:tcPr>
          <w:p w14:paraId="3E674F16" w14:textId="77777777" w:rsidR="00E37A33" w:rsidRDefault="00E37A33" w:rsidP="004A5EB4">
            <w:proofErr w:type="spellStart"/>
            <w:r>
              <w:rPr>
                <w:rFonts w:ascii="Times New Roman" w:hAnsi="Times New Roman"/>
                <w:b/>
                <w:sz w:val="18"/>
              </w:rPr>
              <w:t>Kariyer</w:t>
            </w:r>
            <w:proofErr w:type="spellEnd"/>
            <w:r>
              <w:rPr>
                <w:rFonts w:ascii="Times New Roman" w:hAnsi="Times New Roman"/>
                <w:b/>
                <w:sz w:val="18"/>
              </w:rPr>
              <w:t>/</w:t>
            </w:r>
            <w:proofErr w:type="spellStart"/>
            <w:r>
              <w:rPr>
                <w:rFonts w:ascii="Times New Roman" w:hAnsi="Times New Roman"/>
                <w:b/>
                <w:sz w:val="18"/>
              </w:rPr>
              <w:t>Kişisel</w:t>
            </w:r>
            <w:proofErr w:type="spellEnd"/>
            <w:r>
              <w:rPr>
                <w:rFonts w:ascii="Times New Roman" w:hAnsi="Times New Roman"/>
                <w:b/>
                <w:sz w:val="18"/>
              </w:rPr>
              <w:t xml:space="preserve"> </w:t>
            </w:r>
            <w:proofErr w:type="spellStart"/>
            <w:r>
              <w:rPr>
                <w:rFonts w:ascii="Times New Roman" w:hAnsi="Times New Roman"/>
                <w:b/>
                <w:sz w:val="18"/>
              </w:rPr>
              <w:t>Gelişim</w:t>
            </w:r>
            <w:proofErr w:type="spellEnd"/>
            <w:r>
              <w:rPr>
                <w:rFonts w:ascii="Times New Roman" w:hAnsi="Times New Roman"/>
                <w:b/>
                <w:sz w:val="18"/>
              </w:rPr>
              <w:t xml:space="preserve"> </w:t>
            </w:r>
            <w:proofErr w:type="spellStart"/>
            <w:r>
              <w:rPr>
                <w:rFonts w:ascii="Times New Roman" w:hAnsi="Times New Roman"/>
                <w:b/>
                <w:sz w:val="18"/>
              </w:rPr>
              <w:t>Katkısı</w:t>
            </w:r>
            <w:proofErr w:type="spellEnd"/>
          </w:p>
        </w:tc>
        <w:tc>
          <w:tcPr>
            <w:tcW w:w="472" w:type="dxa"/>
          </w:tcPr>
          <w:p w14:paraId="1C51D709" w14:textId="77777777" w:rsidR="00E37A33" w:rsidRDefault="00E37A33" w:rsidP="004A5EB4">
            <w:pPr>
              <w:jc w:val="center"/>
            </w:pPr>
            <w:r>
              <w:rPr>
                <w:rFonts w:ascii="Times New Roman" w:hAnsi="Times New Roman"/>
                <w:sz w:val="19"/>
              </w:rPr>
              <w:t>0</w:t>
            </w:r>
          </w:p>
        </w:tc>
        <w:tc>
          <w:tcPr>
            <w:tcW w:w="472" w:type="dxa"/>
          </w:tcPr>
          <w:p w14:paraId="0AB33828" w14:textId="77777777" w:rsidR="00E37A33" w:rsidRDefault="00E37A33" w:rsidP="004A5EB4">
            <w:pPr>
              <w:jc w:val="center"/>
            </w:pPr>
            <w:r>
              <w:rPr>
                <w:rFonts w:ascii="Times New Roman" w:hAnsi="Times New Roman"/>
                <w:sz w:val="19"/>
              </w:rPr>
              <w:t>0</w:t>
            </w:r>
          </w:p>
        </w:tc>
        <w:tc>
          <w:tcPr>
            <w:tcW w:w="472" w:type="dxa"/>
          </w:tcPr>
          <w:p w14:paraId="187E1FBD" w14:textId="77777777" w:rsidR="00E37A33" w:rsidRDefault="00E37A33" w:rsidP="004A5EB4">
            <w:pPr>
              <w:jc w:val="center"/>
            </w:pPr>
            <w:r>
              <w:rPr>
                <w:rFonts w:ascii="Times New Roman" w:hAnsi="Times New Roman"/>
                <w:sz w:val="19"/>
              </w:rPr>
              <w:t>1</w:t>
            </w:r>
          </w:p>
        </w:tc>
        <w:tc>
          <w:tcPr>
            <w:tcW w:w="472" w:type="dxa"/>
          </w:tcPr>
          <w:p w14:paraId="39945AE5" w14:textId="77777777" w:rsidR="00E37A33" w:rsidRDefault="00E37A33" w:rsidP="004A5EB4">
            <w:pPr>
              <w:jc w:val="center"/>
            </w:pPr>
            <w:r>
              <w:rPr>
                <w:rFonts w:ascii="Times New Roman" w:hAnsi="Times New Roman"/>
                <w:sz w:val="19"/>
              </w:rPr>
              <w:t>19</w:t>
            </w:r>
          </w:p>
        </w:tc>
        <w:tc>
          <w:tcPr>
            <w:tcW w:w="472" w:type="dxa"/>
          </w:tcPr>
          <w:p w14:paraId="0B6FD6BD" w14:textId="77777777" w:rsidR="00E37A33" w:rsidRDefault="00E37A33" w:rsidP="004A5EB4">
            <w:pPr>
              <w:jc w:val="center"/>
            </w:pPr>
            <w:r>
              <w:rPr>
                <w:rFonts w:ascii="Times New Roman" w:hAnsi="Times New Roman"/>
                <w:sz w:val="19"/>
              </w:rPr>
              <w:t>30</w:t>
            </w:r>
          </w:p>
        </w:tc>
        <w:tc>
          <w:tcPr>
            <w:tcW w:w="590" w:type="dxa"/>
          </w:tcPr>
          <w:p w14:paraId="5C8DD871" w14:textId="77777777" w:rsidR="00E37A33" w:rsidRDefault="00E37A33" w:rsidP="004A5EB4">
            <w:pPr>
              <w:jc w:val="center"/>
            </w:pPr>
            <w:r>
              <w:rPr>
                <w:rFonts w:ascii="Times New Roman" w:hAnsi="Times New Roman"/>
                <w:sz w:val="19"/>
              </w:rPr>
              <w:t>50</w:t>
            </w:r>
          </w:p>
        </w:tc>
        <w:tc>
          <w:tcPr>
            <w:tcW w:w="590" w:type="dxa"/>
          </w:tcPr>
          <w:p w14:paraId="48B54157" w14:textId="77777777" w:rsidR="00E37A33" w:rsidRDefault="00E37A33" w:rsidP="004A5EB4">
            <w:pPr>
              <w:jc w:val="center"/>
            </w:pPr>
            <w:r>
              <w:rPr>
                <w:rFonts w:ascii="Times New Roman" w:hAnsi="Times New Roman"/>
                <w:b/>
                <w:sz w:val="19"/>
              </w:rPr>
              <w:t>4.70</w:t>
            </w:r>
          </w:p>
        </w:tc>
      </w:tr>
      <w:tr w:rsidR="00E37A33" w14:paraId="7BDACE8C" w14:textId="77777777" w:rsidTr="004A5EB4">
        <w:trPr>
          <w:jc w:val="center"/>
        </w:trPr>
        <w:tc>
          <w:tcPr>
            <w:tcW w:w="1771" w:type="dxa"/>
          </w:tcPr>
          <w:p w14:paraId="30CF4F3C" w14:textId="77777777" w:rsidR="00E37A33" w:rsidRDefault="00E37A33" w:rsidP="004A5EB4">
            <w:proofErr w:type="spellStart"/>
            <w:r>
              <w:rPr>
                <w:rFonts w:ascii="Times New Roman" w:hAnsi="Times New Roman"/>
                <w:b/>
                <w:sz w:val="18"/>
              </w:rPr>
              <w:t>Konuşmacı</w:t>
            </w:r>
            <w:proofErr w:type="spellEnd"/>
            <w:r>
              <w:rPr>
                <w:rFonts w:ascii="Times New Roman" w:hAnsi="Times New Roman"/>
                <w:b/>
                <w:sz w:val="18"/>
              </w:rPr>
              <w:t>/</w:t>
            </w:r>
            <w:proofErr w:type="spellStart"/>
            <w:r>
              <w:rPr>
                <w:rFonts w:ascii="Times New Roman" w:hAnsi="Times New Roman"/>
                <w:b/>
                <w:sz w:val="18"/>
              </w:rPr>
              <w:t>Sunum</w:t>
            </w:r>
            <w:proofErr w:type="spellEnd"/>
            <w:r>
              <w:rPr>
                <w:rFonts w:ascii="Times New Roman" w:hAnsi="Times New Roman"/>
                <w:b/>
                <w:sz w:val="18"/>
              </w:rPr>
              <w:t xml:space="preserve"> </w:t>
            </w:r>
            <w:proofErr w:type="spellStart"/>
            <w:r>
              <w:rPr>
                <w:rFonts w:ascii="Times New Roman" w:hAnsi="Times New Roman"/>
                <w:b/>
                <w:sz w:val="18"/>
              </w:rPr>
              <w:t>Kalitesi</w:t>
            </w:r>
            <w:proofErr w:type="spellEnd"/>
          </w:p>
        </w:tc>
        <w:tc>
          <w:tcPr>
            <w:tcW w:w="472" w:type="dxa"/>
          </w:tcPr>
          <w:p w14:paraId="1C1F8159" w14:textId="77777777" w:rsidR="00E37A33" w:rsidRDefault="00E37A33" w:rsidP="004A5EB4">
            <w:pPr>
              <w:jc w:val="center"/>
            </w:pPr>
            <w:r>
              <w:rPr>
                <w:rFonts w:ascii="Times New Roman" w:hAnsi="Times New Roman"/>
                <w:sz w:val="19"/>
              </w:rPr>
              <w:t>0</w:t>
            </w:r>
          </w:p>
        </w:tc>
        <w:tc>
          <w:tcPr>
            <w:tcW w:w="472" w:type="dxa"/>
          </w:tcPr>
          <w:p w14:paraId="7FB1F0EB" w14:textId="77777777" w:rsidR="00E37A33" w:rsidRDefault="00E37A33" w:rsidP="004A5EB4">
            <w:pPr>
              <w:jc w:val="center"/>
            </w:pPr>
            <w:r>
              <w:rPr>
                <w:rFonts w:ascii="Times New Roman" w:hAnsi="Times New Roman"/>
                <w:sz w:val="19"/>
              </w:rPr>
              <w:t>0</w:t>
            </w:r>
          </w:p>
        </w:tc>
        <w:tc>
          <w:tcPr>
            <w:tcW w:w="472" w:type="dxa"/>
          </w:tcPr>
          <w:p w14:paraId="68747369" w14:textId="77777777" w:rsidR="00E37A33" w:rsidRDefault="00E37A33" w:rsidP="004A5EB4">
            <w:pPr>
              <w:jc w:val="center"/>
            </w:pPr>
            <w:r>
              <w:rPr>
                <w:rFonts w:ascii="Times New Roman" w:hAnsi="Times New Roman"/>
                <w:sz w:val="19"/>
              </w:rPr>
              <w:t>0</w:t>
            </w:r>
          </w:p>
        </w:tc>
        <w:tc>
          <w:tcPr>
            <w:tcW w:w="472" w:type="dxa"/>
          </w:tcPr>
          <w:p w14:paraId="567C6FB7" w14:textId="77777777" w:rsidR="00E37A33" w:rsidRDefault="00E37A33" w:rsidP="004A5EB4">
            <w:pPr>
              <w:jc w:val="center"/>
            </w:pPr>
            <w:r>
              <w:rPr>
                <w:rFonts w:ascii="Times New Roman" w:hAnsi="Times New Roman"/>
                <w:sz w:val="19"/>
              </w:rPr>
              <w:t>23</w:t>
            </w:r>
          </w:p>
        </w:tc>
        <w:tc>
          <w:tcPr>
            <w:tcW w:w="472" w:type="dxa"/>
          </w:tcPr>
          <w:p w14:paraId="7ED6A0E2" w14:textId="77777777" w:rsidR="00E37A33" w:rsidRDefault="00E37A33" w:rsidP="004A5EB4">
            <w:pPr>
              <w:jc w:val="center"/>
            </w:pPr>
            <w:r>
              <w:rPr>
                <w:rFonts w:ascii="Times New Roman" w:hAnsi="Times New Roman"/>
                <w:sz w:val="19"/>
              </w:rPr>
              <w:t>27</w:t>
            </w:r>
          </w:p>
        </w:tc>
        <w:tc>
          <w:tcPr>
            <w:tcW w:w="590" w:type="dxa"/>
          </w:tcPr>
          <w:p w14:paraId="0AE70367" w14:textId="77777777" w:rsidR="00E37A33" w:rsidRDefault="00E37A33" w:rsidP="004A5EB4">
            <w:pPr>
              <w:jc w:val="center"/>
            </w:pPr>
            <w:r>
              <w:rPr>
                <w:rFonts w:ascii="Times New Roman" w:hAnsi="Times New Roman"/>
                <w:sz w:val="19"/>
              </w:rPr>
              <w:t>50</w:t>
            </w:r>
          </w:p>
        </w:tc>
        <w:tc>
          <w:tcPr>
            <w:tcW w:w="590" w:type="dxa"/>
          </w:tcPr>
          <w:p w14:paraId="5B7A3F4A" w14:textId="77777777" w:rsidR="00E37A33" w:rsidRDefault="00E37A33" w:rsidP="004A5EB4">
            <w:pPr>
              <w:jc w:val="center"/>
            </w:pPr>
            <w:r>
              <w:rPr>
                <w:rFonts w:ascii="Times New Roman" w:hAnsi="Times New Roman"/>
                <w:b/>
                <w:sz w:val="19"/>
              </w:rPr>
              <w:t>4.50</w:t>
            </w:r>
          </w:p>
        </w:tc>
      </w:tr>
      <w:tr w:rsidR="00E37A33" w14:paraId="0572C552" w14:textId="77777777" w:rsidTr="004A5EB4">
        <w:trPr>
          <w:jc w:val="center"/>
        </w:trPr>
        <w:tc>
          <w:tcPr>
            <w:tcW w:w="1771" w:type="dxa"/>
          </w:tcPr>
          <w:p w14:paraId="1432DACE" w14:textId="77777777" w:rsidR="00E37A33" w:rsidRDefault="00E37A33" w:rsidP="004A5EB4">
            <w:proofErr w:type="spellStart"/>
            <w:r>
              <w:rPr>
                <w:rFonts w:ascii="Times New Roman" w:hAnsi="Times New Roman"/>
                <w:b/>
                <w:sz w:val="18"/>
              </w:rPr>
              <w:t>Organizasyon</w:t>
            </w:r>
            <w:proofErr w:type="spellEnd"/>
            <w:r>
              <w:rPr>
                <w:rFonts w:ascii="Times New Roman" w:hAnsi="Times New Roman"/>
                <w:b/>
                <w:sz w:val="18"/>
              </w:rPr>
              <w:t xml:space="preserve"> </w:t>
            </w:r>
            <w:proofErr w:type="spellStart"/>
            <w:r>
              <w:rPr>
                <w:rFonts w:ascii="Times New Roman" w:hAnsi="Times New Roman"/>
                <w:b/>
                <w:sz w:val="18"/>
              </w:rPr>
              <w:t>Düzeyi</w:t>
            </w:r>
            <w:proofErr w:type="spellEnd"/>
          </w:p>
        </w:tc>
        <w:tc>
          <w:tcPr>
            <w:tcW w:w="472" w:type="dxa"/>
          </w:tcPr>
          <w:p w14:paraId="7E00D3BE" w14:textId="77777777" w:rsidR="00E37A33" w:rsidRDefault="00E37A33" w:rsidP="004A5EB4">
            <w:pPr>
              <w:jc w:val="center"/>
            </w:pPr>
            <w:r>
              <w:rPr>
                <w:rFonts w:ascii="Times New Roman" w:hAnsi="Times New Roman"/>
                <w:sz w:val="19"/>
              </w:rPr>
              <w:t>0</w:t>
            </w:r>
          </w:p>
        </w:tc>
        <w:tc>
          <w:tcPr>
            <w:tcW w:w="472" w:type="dxa"/>
          </w:tcPr>
          <w:p w14:paraId="00C82819" w14:textId="77777777" w:rsidR="00E37A33" w:rsidRDefault="00E37A33" w:rsidP="004A5EB4">
            <w:pPr>
              <w:jc w:val="center"/>
            </w:pPr>
            <w:r>
              <w:rPr>
                <w:rFonts w:ascii="Times New Roman" w:hAnsi="Times New Roman"/>
                <w:sz w:val="19"/>
              </w:rPr>
              <w:t>0</w:t>
            </w:r>
          </w:p>
        </w:tc>
        <w:tc>
          <w:tcPr>
            <w:tcW w:w="472" w:type="dxa"/>
          </w:tcPr>
          <w:p w14:paraId="19B6F52A" w14:textId="77777777" w:rsidR="00E37A33" w:rsidRDefault="00E37A33" w:rsidP="004A5EB4">
            <w:pPr>
              <w:jc w:val="center"/>
            </w:pPr>
            <w:r>
              <w:rPr>
                <w:rFonts w:ascii="Times New Roman" w:hAnsi="Times New Roman"/>
                <w:sz w:val="19"/>
              </w:rPr>
              <w:t>3</w:t>
            </w:r>
          </w:p>
        </w:tc>
        <w:tc>
          <w:tcPr>
            <w:tcW w:w="472" w:type="dxa"/>
          </w:tcPr>
          <w:p w14:paraId="1AE81AF0" w14:textId="77777777" w:rsidR="00E37A33" w:rsidRDefault="00E37A33" w:rsidP="004A5EB4">
            <w:pPr>
              <w:jc w:val="center"/>
            </w:pPr>
            <w:r>
              <w:rPr>
                <w:rFonts w:ascii="Times New Roman" w:hAnsi="Times New Roman"/>
                <w:sz w:val="19"/>
              </w:rPr>
              <w:t>23</w:t>
            </w:r>
          </w:p>
        </w:tc>
        <w:tc>
          <w:tcPr>
            <w:tcW w:w="472" w:type="dxa"/>
          </w:tcPr>
          <w:p w14:paraId="555E1D86" w14:textId="77777777" w:rsidR="00E37A33" w:rsidRDefault="00E37A33" w:rsidP="004A5EB4">
            <w:pPr>
              <w:jc w:val="center"/>
            </w:pPr>
            <w:r>
              <w:rPr>
                <w:rFonts w:ascii="Times New Roman" w:hAnsi="Times New Roman"/>
                <w:sz w:val="19"/>
              </w:rPr>
              <w:t>24</w:t>
            </w:r>
          </w:p>
        </w:tc>
        <w:tc>
          <w:tcPr>
            <w:tcW w:w="590" w:type="dxa"/>
          </w:tcPr>
          <w:p w14:paraId="169F85F2" w14:textId="77777777" w:rsidR="00E37A33" w:rsidRDefault="00E37A33" w:rsidP="004A5EB4">
            <w:pPr>
              <w:jc w:val="center"/>
            </w:pPr>
            <w:r>
              <w:rPr>
                <w:rFonts w:ascii="Times New Roman" w:hAnsi="Times New Roman"/>
                <w:sz w:val="19"/>
              </w:rPr>
              <w:t>50</w:t>
            </w:r>
          </w:p>
        </w:tc>
        <w:tc>
          <w:tcPr>
            <w:tcW w:w="590" w:type="dxa"/>
          </w:tcPr>
          <w:p w14:paraId="00E2520F" w14:textId="77777777" w:rsidR="00E37A33" w:rsidRDefault="00E37A33" w:rsidP="004A5EB4">
            <w:pPr>
              <w:jc w:val="center"/>
            </w:pPr>
            <w:r>
              <w:rPr>
                <w:rFonts w:ascii="Times New Roman" w:hAnsi="Times New Roman"/>
                <w:b/>
                <w:sz w:val="19"/>
              </w:rPr>
              <w:t>4.66</w:t>
            </w:r>
          </w:p>
        </w:tc>
      </w:tr>
      <w:tr w:rsidR="00E37A33" w14:paraId="4DDB7E30" w14:textId="77777777" w:rsidTr="004A5EB4">
        <w:trPr>
          <w:jc w:val="center"/>
        </w:trPr>
        <w:tc>
          <w:tcPr>
            <w:tcW w:w="1771" w:type="dxa"/>
          </w:tcPr>
          <w:p w14:paraId="1F08934A" w14:textId="77777777" w:rsidR="00E37A33" w:rsidRDefault="00E37A33" w:rsidP="004A5EB4">
            <w:r>
              <w:rPr>
                <w:rFonts w:ascii="Times New Roman" w:hAnsi="Times New Roman"/>
                <w:b/>
                <w:sz w:val="18"/>
              </w:rPr>
              <w:t xml:space="preserve">Genel </w:t>
            </w:r>
            <w:proofErr w:type="spellStart"/>
            <w:r>
              <w:rPr>
                <w:rFonts w:ascii="Times New Roman" w:hAnsi="Times New Roman"/>
                <w:b/>
                <w:sz w:val="18"/>
              </w:rPr>
              <w:t>Memnuniyet</w:t>
            </w:r>
            <w:proofErr w:type="spellEnd"/>
            <w:r>
              <w:rPr>
                <w:rFonts w:ascii="Times New Roman" w:hAnsi="Times New Roman"/>
                <w:b/>
                <w:sz w:val="18"/>
              </w:rPr>
              <w:t xml:space="preserve"> </w:t>
            </w:r>
            <w:proofErr w:type="spellStart"/>
            <w:r>
              <w:rPr>
                <w:rFonts w:ascii="Times New Roman" w:hAnsi="Times New Roman"/>
                <w:b/>
                <w:sz w:val="18"/>
              </w:rPr>
              <w:t>ve</w:t>
            </w:r>
            <w:proofErr w:type="spellEnd"/>
            <w:r>
              <w:rPr>
                <w:rFonts w:ascii="Times New Roman" w:hAnsi="Times New Roman"/>
                <w:b/>
                <w:sz w:val="18"/>
              </w:rPr>
              <w:t xml:space="preserve"> </w:t>
            </w:r>
            <w:proofErr w:type="spellStart"/>
            <w:r>
              <w:rPr>
                <w:rFonts w:ascii="Times New Roman" w:hAnsi="Times New Roman"/>
                <w:b/>
                <w:sz w:val="18"/>
              </w:rPr>
              <w:t>Yeniden</w:t>
            </w:r>
            <w:proofErr w:type="spellEnd"/>
            <w:r>
              <w:rPr>
                <w:rFonts w:ascii="Times New Roman" w:hAnsi="Times New Roman"/>
                <w:b/>
                <w:sz w:val="18"/>
              </w:rPr>
              <w:t xml:space="preserve"> </w:t>
            </w:r>
            <w:proofErr w:type="spellStart"/>
            <w:r>
              <w:rPr>
                <w:rFonts w:ascii="Times New Roman" w:hAnsi="Times New Roman"/>
                <w:b/>
                <w:sz w:val="18"/>
              </w:rPr>
              <w:t>Katılım</w:t>
            </w:r>
            <w:proofErr w:type="spellEnd"/>
            <w:r>
              <w:rPr>
                <w:rFonts w:ascii="Times New Roman" w:hAnsi="Times New Roman"/>
                <w:b/>
                <w:sz w:val="18"/>
              </w:rPr>
              <w:t xml:space="preserve"> </w:t>
            </w:r>
            <w:proofErr w:type="spellStart"/>
            <w:r>
              <w:rPr>
                <w:rFonts w:ascii="Times New Roman" w:hAnsi="Times New Roman"/>
                <w:b/>
                <w:sz w:val="18"/>
              </w:rPr>
              <w:lastRenderedPageBreak/>
              <w:t>İsteği</w:t>
            </w:r>
            <w:proofErr w:type="spellEnd"/>
          </w:p>
        </w:tc>
        <w:tc>
          <w:tcPr>
            <w:tcW w:w="472" w:type="dxa"/>
          </w:tcPr>
          <w:p w14:paraId="27073B35" w14:textId="77777777" w:rsidR="00E37A33" w:rsidRDefault="00E37A33" w:rsidP="004A5EB4">
            <w:pPr>
              <w:jc w:val="center"/>
            </w:pPr>
            <w:r>
              <w:rPr>
                <w:rFonts w:ascii="Times New Roman" w:hAnsi="Times New Roman"/>
                <w:sz w:val="19"/>
              </w:rPr>
              <w:lastRenderedPageBreak/>
              <w:t>0</w:t>
            </w:r>
          </w:p>
        </w:tc>
        <w:tc>
          <w:tcPr>
            <w:tcW w:w="472" w:type="dxa"/>
          </w:tcPr>
          <w:p w14:paraId="5B773914" w14:textId="77777777" w:rsidR="00E37A33" w:rsidRDefault="00E37A33" w:rsidP="004A5EB4">
            <w:pPr>
              <w:jc w:val="center"/>
            </w:pPr>
            <w:r>
              <w:rPr>
                <w:rFonts w:ascii="Times New Roman" w:hAnsi="Times New Roman"/>
                <w:sz w:val="19"/>
              </w:rPr>
              <w:t>0</w:t>
            </w:r>
          </w:p>
        </w:tc>
        <w:tc>
          <w:tcPr>
            <w:tcW w:w="472" w:type="dxa"/>
          </w:tcPr>
          <w:p w14:paraId="07D5AE24" w14:textId="77777777" w:rsidR="00E37A33" w:rsidRDefault="00E37A33" w:rsidP="004A5EB4">
            <w:pPr>
              <w:jc w:val="center"/>
            </w:pPr>
            <w:r>
              <w:rPr>
                <w:rFonts w:ascii="Times New Roman" w:hAnsi="Times New Roman"/>
                <w:sz w:val="19"/>
              </w:rPr>
              <w:t>6</w:t>
            </w:r>
          </w:p>
        </w:tc>
        <w:tc>
          <w:tcPr>
            <w:tcW w:w="472" w:type="dxa"/>
          </w:tcPr>
          <w:p w14:paraId="2B864C3C" w14:textId="77777777" w:rsidR="00E37A33" w:rsidRDefault="00E37A33" w:rsidP="004A5EB4">
            <w:pPr>
              <w:jc w:val="center"/>
            </w:pPr>
            <w:r>
              <w:rPr>
                <w:rFonts w:ascii="Times New Roman" w:hAnsi="Times New Roman"/>
                <w:sz w:val="19"/>
              </w:rPr>
              <w:t>22</w:t>
            </w:r>
          </w:p>
        </w:tc>
        <w:tc>
          <w:tcPr>
            <w:tcW w:w="472" w:type="dxa"/>
          </w:tcPr>
          <w:p w14:paraId="5A275344" w14:textId="77777777" w:rsidR="00E37A33" w:rsidRDefault="00E37A33" w:rsidP="004A5EB4">
            <w:pPr>
              <w:jc w:val="center"/>
            </w:pPr>
            <w:r>
              <w:rPr>
                <w:rFonts w:ascii="Times New Roman" w:hAnsi="Times New Roman"/>
                <w:sz w:val="19"/>
              </w:rPr>
              <w:t>22</w:t>
            </w:r>
          </w:p>
        </w:tc>
        <w:tc>
          <w:tcPr>
            <w:tcW w:w="590" w:type="dxa"/>
          </w:tcPr>
          <w:p w14:paraId="31B23DC2" w14:textId="77777777" w:rsidR="00E37A33" w:rsidRDefault="00E37A33" w:rsidP="004A5EB4">
            <w:pPr>
              <w:jc w:val="center"/>
            </w:pPr>
            <w:r>
              <w:rPr>
                <w:rFonts w:ascii="Times New Roman" w:hAnsi="Times New Roman"/>
                <w:sz w:val="19"/>
              </w:rPr>
              <w:t>50</w:t>
            </w:r>
          </w:p>
        </w:tc>
        <w:tc>
          <w:tcPr>
            <w:tcW w:w="590" w:type="dxa"/>
          </w:tcPr>
          <w:p w14:paraId="1DF7FE17" w14:textId="77777777" w:rsidR="00E37A33" w:rsidRDefault="00E37A33" w:rsidP="004A5EB4">
            <w:pPr>
              <w:jc w:val="center"/>
            </w:pPr>
            <w:r>
              <w:rPr>
                <w:rFonts w:ascii="Times New Roman" w:hAnsi="Times New Roman"/>
                <w:b/>
                <w:sz w:val="19"/>
              </w:rPr>
              <w:t>4.46</w:t>
            </w:r>
          </w:p>
        </w:tc>
      </w:tr>
    </w:tbl>
    <w:p w14:paraId="4A49067B" w14:textId="77777777" w:rsidR="00E37A33" w:rsidRPr="00E37A33" w:rsidRDefault="00E37A33">
      <w:pPr>
        <w:spacing w:before="160" w:after="140"/>
        <w:ind w:firstLine="567"/>
      </w:pPr>
    </w:p>
    <w:p w14:paraId="550234A0" w14:textId="77777777" w:rsidR="00A65305" w:rsidRPr="00E37A33" w:rsidRDefault="00A65305">
      <w:pPr>
        <w:pBdr>
          <w:bottom w:val="single" w:sz="4" w:space="1" w:color="DADCE0"/>
        </w:pBdr>
        <w:spacing w:before="80" w:after="80"/>
      </w:pPr>
    </w:p>
    <w:p w14:paraId="50A9BB1C" w14:textId="72E827AA" w:rsidR="00A65305" w:rsidRPr="00E37A33" w:rsidRDefault="00000000">
      <w:pPr>
        <w:spacing w:before="120"/>
      </w:pPr>
      <w:proofErr w:type="spellStart"/>
      <w:r w:rsidRPr="00E37A33">
        <w:rPr>
          <w:sz w:val="20"/>
        </w:rPr>
        <w:t>Etkinliğe</w:t>
      </w:r>
      <w:proofErr w:type="spellEnd"/>
      <w:r w:rsidRPr="00E37A33">
        <w:rPr>
          <w:sz w:val="20"/>
        </w:rPr>
        <w:t xml:space="preserve"> </w:t>
      </w:r>
      <w:proofErr w:type="spellStart"/>
      <w:r w:rsidRPr="00E37A33">
        <w:rPr>
          <w:sz w:val="20"/>
        </w:rPr>
        <w:t>katılan</w:t>
      </w:r>
      <w:proofErr w:type="spellEnd"/>
      <w:r w:rsidRPr="00E37A33">
        <w:rPr>
          <w:sz w:val="20"/>
        </w:rPr>
        <w:t xml:space="preserve"> </w:t>
      </w:r>
      <w:proofErr w:type="spellStart"/>
      <w:r w:rsidRPr="00E37A33">
        <w:rPr>
          <w:sz w:val="20"/>
        </w:rPr>
        <w:t>tüm</w:t>
      </w:r>
      <w:proofErr w:type="spellEnd"/>
      <w:r w:rsidRPr="00E37A33">
        <w:rPr>
          <w:sz w:val="20"/>
        </w:rPr>
        <w:t xml:space="preserve"> </w:t>
      </w:r>
      <w:proofErr w:type="spellStart"/>
      <w:r w:rsidRPr="00E37A33">
        <w:rPr>
          <w:sz w:val="20"/>
        </w:rPr>
        <w:t>öğrenci</w:t>
      </w:r>
      <w:r w:rsidR="00E37A33">
        <w:rPr>
          <w:sz w:val="20"/>
        </w:rPr>
        <w:t>lerimize</w:t>
      </w:r>
      <w:proofErr w:type="spellEnd"/>
      <w:r w:rsidR="00E37A33">
        <w:rPr>
          <w:sz w:val="20"/>
        </w:rPr>
        <w:t xml:space="preserve"> </w:t>
      </w:r>
      <w:proofErr w:type="spellStart"/>
      <w:r w:rsidRPr="00E37A33">
        <w:rPr>
          <w:sz w:val="20"/>
        </w:rPr>
        <w:t>katkıları</w:t>
      </w:r>
      <w:proofErr w:type="spellEnd"/>
      <w:r w:rsidRPr="00E37A33">
        <w:rPr>
          <w:sz w:val="20"/>
        </w:rPr>
        <w:t xml:space="preserve"> </w:t>
      </w:r>
      <w:proofErr w:type="spellStart"/>
      <w:r w:rsidRPr="00E37A33">
        <w:rPr>
          <w:sz w:val="20"/>
        </w:rPr>
        <w:t>ve</w:t>
      </w:r>
      <w:proofErr w:type="spellEnd"/>
      <w:r w:rsidRPr="00E37A33">
        <w:rPr>
          <w:sz w:val="20"/>
        </w:rPr>
        <w:t xml:space="preserve"> </w:t>
      </w:r>
      <w:proofErr w:type="spellStart"/>
      <w:r w:rsidRPr="00E37A33">
        <w:rPr>
          <w:sz w:val="20"/>
        </w:rPr>
        <w:t>değerli</w:t>
      </w:r>
      <w:proofErr w:type="spellEnd"/>
      <w:r w:rsidRPr="00E37A33">
        <w:rPr>
          <w:sz w:val="20"/>
        </w:rPr>
        <w:t xml:space="preserve"> </w:t>
      </w:r>
      <w:proofErr w:type="spellStart"/>
      <w:r w:rsidRPr="00E37A33">
        <w:rPr>
          <w:sz w:val="20"/>
        </w:rPr>
        <w:t>geri</w:t>
      </w:r>
      <w:proofErr w:type="spellEnd"/>
      <w:r w:rsidRPr="00E37A33">
        <w:rPr>
          <w:sz w:val="20"/>
        </w:rPr>
        <w:t xml:space="preserve"> </w:t>
      </w:r>
      <w:proofErr w:type="spellStart"/>
      <w:r w:rsidRPr="00E37A33">
        <w:rPr>
          <w:sz w:val="20"/>
        </w:rPr>
        <w:t>bildirimleri</w:t>
      </w:r>
      <w:proofErr w:type="spellEnd"/>
      <w:r w:rsidRPr="00E37A33">
        <w:rPr>
          <w:sz w:val="20"/>
        </w:rPr>
        <w:t xml:space="preserve"> için teşekkür ederiz.</w:t>
      </w:r>
    </w:p>
    <w:p w14:paraId="1A7C0AF9" w14:textId="77777777" w:rsidR="00A65305" w:rsidRPr="00E37A33" w:rsidRDefault="00000000">
      <w:pPr>
        <w:jc w:val="right"/>
      </w:pPr>
      <w:r w:rsidRPr="00E37A33">
        <w:rPr>
          <w:b/>
          <w:sz w:val="20"/>
        </w:rPr>
        <w:t>TORKARMER Kalite ve Akreditasyon Komisyonu</w:t>
      </w:r>
      <w:r w:rsidRPr="00E37A33">
        <w:rPr>
          <w:b/>
          <w:sz w:val="20"/>
        </w:rPr>
        <w:br/>
        <w:t>Toros Üniversitesi Kariyer ve Araştırma Merkezi Müdürlüğü</w:t>
      </w:r>
    </w:p>
    <w:sectPr w:rsidR="00A65305" w:rsidRPr="00E37A33"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265889038">
    <w:abstractNumId w:val="8"/>
  </w:num>
  <w:num w:numId="2" w16cid:durableId="1595935724">
    <w:abstractNumId w:val="6"/>
  </w:num>
  <w:num w:numId="3" w16cid:durableId="1225263581">
    <w:abstractNumId w:val="5"/>
  </w:num>
  <w:num w:numId="4" w16cid:durableId="1482691504">
    <w:abstractNumId w:val="4"/>
  </w:num>
  <w:num w:numId="5" w16cid:durableId="1694916942">
    <w:abstractNumId w:val="7"/>
  </w:num>
  <w:num w:numId="6" w16cid:durableId="1904749751">
    <w:abstractNumId w:val="3"/>
  </w:num>
  <w:num w:numId="7" w16cid:durableId="102310635">
    <w:abstractNumId w:val="2"/>
  </w:num>
  <w:num w:numId="8" w16cid:durableId="109788373">
    <w:abstractNumId w:val="1"/>
  </w:num>
  <w:num w:numId="9" w16cid:durableId="12126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05B9"/>
    <w:rsid w:val="0029639D"/>
    <w:rsid w:val="00326F90"/>
    <w:rsid w:val="00A65305"/>
    <w:rsid w:val="00AA1D8D"/>
    <w:rsid w:val="00B47730"/>
    <w:rsid w:val="00BC1FCF"/>
    <w:rsid w:val="00CB0664"/>
    <w:rsid w:val="00E37A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DA2BE"/>
  <w14:defaultImageDpi w14:val="300"/>
  <w15:docId w15:val="{5DFC84A6-3A6B-43E1-882F-7D50DBF9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Mustafa Saridogan</cp:lastModifiedBy>
  <cp:revision>3</cp:revision>
  <dcterms:created xsi:type="dcterms:W3CDTF">2013-12-23T23:15:00Z</dcterms:created>
  <dcterms:modified xsi:type="dcterms:W3CDTF">2026-05-22T12:05:00Z</dcterms:modified>
  <cp:category/>
</cp:coreProperties>
</file>