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DAEA" w14:textId="77777777" w:rsidR="000E6940" w:rsidRPr="00176E6C" w:rsidRDefault="00000000">
      <w:pPr>
        <w:jc w:val="center"/>
      </w:pPr>
      <w:r w:rsidRPr="00176E6C">
        <w:rPr>
          <w:b/>
          <w:sz w:val="20"/>
        </w:rPr>
        <w:t>TOROS ÜNİVERSİTESİ — KARİYER VE ARAŞTIRMA MERKEZİ</w:t>
      </w:r>
    </w:p>
    <w:p w14:paraId="7D194A40" w14:textId="77777777" w:rsidR="000E6940" w:rsidRPr="00176E6C" w:rsidRDefault="00000000">
      <w:pPr>
        <w:jc w:val="center"/>
      </w:pPr>
      <w:r w:rsidRPr="00176E6C">
        <w:rPr>
          <w:b/>
          <w:sz w:val="30"/>
        </w:rPr>
        <w:t>İŞ KULÜBÜ ETKİNLİĞİ (MEZİTLİ KAMPÜSÜ)</w:t>
      </w:r>
    </w:p>
    <w:p w14:paraId="4E427435" w14:textId="77777777" w:rsidR="000E6940" w:rsidRPr="00176E6C" w:rsidRDefault="00000000">
      <w:pPr>
        <w:jc w:val="center"/>
      </w:pPr>
      <w:r w:rsidRPr="00176E6C">
        <w:rPr>
          <w:sz w:val="20"/>
        </w:rPr>
        <w:t>Etkinlik Değerlendirme ve Memnuniyet Raporu  ·  13 Mayıs 2024</w:t>
      </w:r>
    </w:p>
    <w:p w14:paraId="6670F1F0" w14:textId="77777777" w:rsidR="000E6940" w:rsidRPr="00176E6C" w:rsidRDefault="000E6940">
      <w:pPr>
        <w:pBdr>
          <w:bottom w:val="single" w:sz="4" w:space="1" w:color="DADCE0"/>
        </w:pBdr>
        <w:spacing w:before="80" w:after="80"/>
      </w:pPr>
    </w:p>
    <w:p w14:paraId="5E60B690" w14:textId="77777777" w:rsidR="000E6940" w:rsidRPr="00176E6C" w:rsidRDefault="00000000">
      <w:pPr>
        <w:spacing w:before="200" w:after="140"/>
        <w:ind w:firstLine="567"/>
      </w:pPr>
      <w:r w:rsidRPr="00176E6C">
        <w:t>İŞ KULÜBÜ ETKİNLİĞİ (MEZİTLİ KAMPÜSÜ), 13 Mayıs 2024 tarihinde İŞKUR ve Toros Üniversitesi iş birliğiyle hayata geçirildi. 19 Aralık 2023 İş Kulübü tanıtım anketlerinde öğrencilerin uygulamalı eğitim ve Mezitli Kampüsü talebi üzerine planlanmıştır. İş kulübü serisi; öğrencilerin özgeçmiş hazırlama, mülakat teknikleri ve iş dünyasına adaptasyon süreçlerinde somut rehberliğe duydukları ihtiyacı karşılamak üzere tasarlandı. Eğitim programı, teorik çerçeveyi pratik uygulamalarla destekleyen modüler bir yapıda kurgulandı.</w:t>
      </w:r>
    </w:p>
    <w:p w14:paraId="5D9A2150" w14:textId="77777777" w:rsidR="000E6940" w:rsidRPr="00176E6C" w:rsidRDefault="00000000">
      <w:pPr>
        <w:spacing w:before="160" w:after="140"/>
        <w:ind w:firstLine="567"/>
      </w:pPr>
      <w:r w:rsidRPr="00176E6C">
        <w:t xml:space="preserve">İŞKUR </w:t>
      </w:r>
      <w:proofErr w:type="spellStart"/>
      <w:r w:rsidRPr="00176E6C">
        <w:t>iş</w:t>
      </w:r>
      <w:proofErr w:type="spellEnd"/>
      <w:r w:rsidRPr="00176E6C">
        <w:t xml:space="preserve"> </w:t>
      </w:r>
      <w:proofErr w:type="spellStart"/>
      <w:r w:rsidRPr="00176E6C">
        <w:t>birliğiyle</w:t>
      </w:r>
      <w:proofErr w:type="spellEnd"/>
      <w:r w:rsidRPr="00176E6C">
        <w:t xml:space="preserve"> </w:t>
      </w:r>
      <w:proofErr w:type="spellStart"/>
      <w:r w:rsidRPr="00176E6C">
        <w:t>Mezitli</w:t>
      </w:r>
      <w:proofErr w:type="spellEnd"/>
      <w:r w:rsidRPr="00176E6C">
        <w:t xml:space="preserve"> Kampüsü'nde 38 katılımcıyla uygulamalı İş Kulübü Eğitimi düzenlenmiştir. Eğitim oturumlarında özgeçmiş yapısı ve içeriği, iş görüşmesinde dikkat edilmesi gereken noktalar ile LinkedIn gibi mesleki ağ platformlarının etkin kullanımı ele alındı. Grup çalışmaları ve simüle mülakat uygulamaları, katılımcıların teorik bilgiyi pratik deneyime dönüştürmesini kolaylaştırdı. Eğitmenler gerçek iş dünyasından somut örnekler sunarak konuları soyuttan somuta taşıdı; bu yaklaşım, eğitimin kalitesini ve uygulanabilirliğini doğrudan destekledi.</w:t>
      </w:r>
    </w:p>
    <w:p w14:paraId="0BAA6776" w14:textId="77777777" w:rsidR="000E6940" w:rsidRPr="00176E6C" w:rsidRDefault="00000000">
      <w:pPr>
        <w:spacing w:before="160" w:after="140"/>
        <w:ind w:firstLine="567"/>
      </w:pPr>
      <w:proofErr w:type="spellStart"/>
      <w:r w:rsidRPr="00176E6C">
        <w:t>Etkinliğe</w:t>
      </w:r>
      <w:proofErr w:type="spellEnd"/>
      <w:r w:rsidRPr="00176E6C">
        <w:t xml:space="preserve"> </w:t>
      </w:r>
      <w:proofErr w:type="spellStart"/>
      <w:r w:rsidRPr="00176E6C">
        <w:t>toplamda</w:t>
      </w:r>
      <w:proofErr w:type="spellEnd"/>
      <w:r w:rsidRPr="00176E6C">
        <w:t xml:space="preserve"> 38 </w:t>
      </w:r>
      <w:proofErr w:type="spellStart"/>
      <w:r w:rsidRPr="00176E6C">
        <w:t>kişi</w:t>
      </w:r>
      <w:proofErr w:type="spellEnd"/>
      <w:r w:rsidRPr="00176E6C">
        <w:t xml:space="preserve"> katıldı; katılımcıların büyük çoğunluğunu 33 öğrenci oluşturdu. Etkinliğe 5 akademik/idari personel eşlik etti. Etkinlik sonrası uygulanan memnuniyet anketi, 35 katılımcı tarafından yanıtlandı (anket katılım oranı: %92). Anketin geniş bir yanıt tabanına ulaşması, değerlendirmelerin temsil gücünü artırmakta ve etkinlik kalitesine ilişkin çıkarımlara daha sağlam bir zemin oluşturmaktadır.</w:t>
      </w:r>
    </w:p>
    <w:p w14:paraId="49F25EB5" w14:textId="77777777" w:rsidR="000E6940" w:rsidRPr="00176E6C" w:rsidRDefault="00000000">
      <w:pPr>
        <w:spacing w:before="160" w:after="140"/>
        <w:ind w:firstLine="567"/>
      </w:pPr>
      <w:proofErr w:type="spellStart"/>
      <w:r w:rsidRPr="00176E6C">
        <w:t>Etkinlik</w:t>
      </w:r>
      <w:proofErr w:type="spellEnd"/>
      <w:r w:rsidRPr="00176E6C">
        <w:t xml:space="preserve"> </w:t>
      </w:r>
      <w:proofErr w:type="spellStart"/>
      <w:r w:rsidRPr="00176E6C">
        <w:t>içeriği</w:t>
      </w:r>
      <w:proofErr w:type="spellEnd"/>
      <w:r w:rsidRPr="00176E6C">
        <w:t xml:space="preserve"> </w:t>
      </w:r>
      <w:proofErr w:type="spellStart"/>
      <w:r w:rsidRPr="00176E6C">
        <w:t>iki</w:t>
      </w:r>
      <w:proofErr w:type="spellEnd"/>
      <w:r w:rsidRPr="00176E6C">
        <w:t xml:space="preserve"> </w:t>
      </w:r>
      <w:proofErr w:type="spellStart"/>
      <w:r w:rsidRPr="00176E6C">
        <w:t>temel</w:t>
      </w:r>
      <w:proofErr w:type="spellEnd"/>
      <w:r w:rsidRPr="00176E6C">
        <w:t xml:space="preserve"> boyutta ele alındı: programın genel içerik kalitesi ve konuşmacı/eğitmen performansı. Genel içerik memnuniyeti 4.80/5.00 olarak ölçülürken, katılımcıların %97'i bu boyutta 4 veya 5 puan verdi. Konuşmacı ve sunum kalitesi ise 4.90/5.00 ortalama ile değerlendirildi; %100'si yüksek memnuniyet bildirdi. Konuşmacı performansının içerik memnuniyetinin hafif üzerinde çıkması, sunumların içeriği ön plana çıkardığına işaret etmektedir. Her iki boyutun bütünleşik ortalaması 4.85/5.00 düzeyinde gerçekleşmesiyle içerik kalitesinin genel olarak yüksek bir değerlendirmeye konu olduğu görülmektedir. Anketlerde eğitimin çok yararlı olduğu görülmüş, ancak 45 Evler Kampüsü öğrencilerinin de bu eğitimi kendi kampüslerinde almak istedikleri tespit edilmiştir.</w:t>
      </w:r>
    </w:p>
    <w:p w14:paraId="3ECF133F" w14:textId="77777777" w:rsidR="000E6940" w:rsidRPr="00176E6C" w:rsidRDefault="00000000">
      <w:pPr>
        <w:spacing w:before="160" w:after="140"/>
        <w:ind w:firstLine="567"/>
      </w:pPr>
      <w:proofErr w:type="spellStart"/>
      <w:r w:rsidRPr="00176E6C">
        <w:t>Anket</w:t>
      </w:r>
      <w:proofErr w:type="spellEnd"/>
      <w:r w:rsidRPr="00176E6C">
        <w:t xml:space="preserve"> </w:t>
      </w:r>
      <w:proofErr w:type="spellStart"/>
      <w:r w:rsidRPr="00176E6C">
        <w:t>verileri</w:t>
      </w:r>
      <w:proofErr w:type="spellEnd"/>
      <w:r w:rsidRPr="00176E6C">
        <w:t xml:space="preserve"> </w:t>
      </w:r>
      <w:proofErr w:type="spellStart"/>
      <w:r w:rsidRPr="00176E6C">
        <w:t>beş</w:t>
      </w:r>
      <w:proofErr w:type="spellEnd"/>
      <w:r w:rsidRPr="00176E6C">
        <w:t xml:space="preserve"> </w:t>
      </w:r>
      <w:proofErr w:type="spellStart"/>
      <w:r w:rsidRPr="00176E6C">
        <w:t>farklı</w:t>
      </w:r>
      <w:proofErr w:type="spellEnd"/>
      <w:r w:rsidRPr="00176E6C">
        <w:t xml:space="preserve"> boyut üzerinden analiz edildiğinde etkinliğin son derece yüksek bir memnuniyet ile sonuçlandığı görülmektedir (5 boyutun ağırlıksız ortalaması: 4.79/5.00). Kariyer katkısı boyutunda katılımcılar 4.70/5.00 ortalama verdi; bu oran, etkinliğin mesleki gelişime yüksek bir katkı sağladığını ortaya koymaktadır. Katılımcıların %100'i kariyer katkısını yüksek (4-5 puan) olarak değerlendirdi. Organizasyon boyutunda ise elde edilen 4.82/5.00 ortalama, lojistik ve planlama açısından yüksek bir deneyim yaşandığına işaret etmektedir. Genel memnuniyet ve yeniden katılım isteği sorusunda 4.71/5.00 ortalama elde edildi; katılımcıların </w:t>
      </w:r>
      <w:r w:rsidRPr="00176E6C">
        <w:lastRenderedPageBreak/>
        <w:t>%89'i bu etkinliğe benzer programlara tekrar iştirak etmek istediklerini belirtti. Bu oran, etkinliğin bıraktığı kalıcı izlenim açısından güçlü bir gösterge niteliği taşımaktadır.</w:t>
      </w:r>
    </w:p>
    <w:p w14:paraId="79141503" w14:textId="77777777" w:rsidR="000E6940" w:rsidRPr="00176E6C" w:rsidRDefault="00000000">
      <w:pPr>
        <w:spacing w:before="160" w:after="140"/>
        <w:ind w:firstLine="567"/>
      </w:pPr>
      <w:r w:rsidRPr="00176E6C">
        <w:t xml:space="preserve">Açık </w:t>
      </w:r>
      <w:proofErr w:type="spellStart"/>
      <w:r w:rsidRPr="00176E6C">
        <w:t>uçlu</w:t>
      </w:r>
      <w:proofErr w:type="spellEnd"/>
      <w:r w:rsidRPr="00176E6C">
        <w:t xml:space="preserve"> </w:t>
      </w:r>
      <w:proofErr w:type="spellStart"/>
      <w:r w:rsidRPr="00176E6C">
        <w:t>anket</w:t>
      </w:r>
      <w:proofErr w:type="spellEnd"/>
      <w:r w:rsidRPr="00176E6C">
        <w:t xml:space="preserve"> </w:t>
      </w:r>
      <w:proofErr w:type="spellStart"/>
      <w:r w:rsidRPr="00176E6C">
        <w:t>sorularına</w:t>
      </w:r>
      <w:proofErr w:type="spellEnd"/>
      <w:r w:rsidRPr="00176E6C">
        <w:t xml:space="preserve"> verilen yanıtlar incelendiğinde geri bildirimlerin yaklaşık %76'inin olumlu veya takdire değer unsurları ön plana çıkardığı, %24'inin ise iyileştirmeye açık alanları işaret ettiği görülmektedir. Öğrencilerin en çok vurguladığı olumlu unsurlar arasında pratik uygulama bölümleri ve gerçek sektör örnekleriyle zenginleştirilmiş içerik yer aldı. Geliştirme önerileri arasında ise grup çalışması sürelerinin uzatılması ve oturumların daha sık tekrarlanması öne çıktı. Bu geri bildirimler, etkinliğin güçlü yönlerini pekiştiren ve gelişime açık alanlarını açıkça ortaya koyan somut veriler olarak değerlendirilmektedir.</w:t>
      </w:r>
    </w:p>
    <w:p w14:paraId="7FDF0520" w14:textId="77777777" w:rsidR="000E6940" w:rsidRDefault="00000000">
      <w:pPr>
        <w:spacing w:before="160" w:after="140"/>
        <w:ind w:firstLine="567"/>
      </w:pPr>
      <w:proofErr w:type="spellStart"/>
      <w:r w:rsidRPr="00176E6C">
        <w:t>İş</w:t>
      </w:r>
      <w:proofErr w:type="spellEnd"/>
      <w:r w:rsidRPr="00176E6C">
        <w:t xml:space="preserve"> </w:t>
      </w:r>
      <w:proofErr w:type="spellStart"/>
      <w:r w:rsidRPr="00176E6C">
        <w:t>kulübü</w:t>
      </w:r>
      <w:proofErr w:type="spellEnd"/>
      <w:r w:rsidRPr="00176E6C">
        <w:t xml:space="preserve"> </w:t>
      </w:r>
      <w:proofErr w:type="spellStart"/>
      <w:r w:rsidRPr="00176E6C">
        <w:t>eğitiminin</w:t>
      </w:r>
      <w:proofErr w:type="spellEnd"/>
      <w:r w:rsidRPr="00176E6C">
        <w:t xml:space="preserve"> </w:t>
      </w:r>
      <w:proofErr w:type="spellStart"/>
      <w:r w:rsidRPr="00176E6C">
        <w:t>ortaya</w:t>
      </w:r>
      <w:proofErr w:type="spellEnd"/>
      <w:r w:rsidRPr="00176E6C">
        <w:t xml:space="preserve"> koyduğu bu bulgular temelinde, Bu doğrultuda hareket planı hazırlanmış ve Kasım 2024'te 45 Evler Kampüsü için aynı eğitim programlanarak uygulanmıştır. Etkinliğin en düşük değerlendirme aldığı kariyer katkısı boyutundaki geri bildirimler (4.70/5.00) sonraki planlamada öncelikli odak alanı olarak ele alınacak; konuşmacı/sunum kalitesi boyutundaki güçlü performans (4.90/5.00) ise sürdürülmesi ve geliştirilmesi gereken </w:t>
      </w:r>
      <w:proofErr w:type="spellStart"/>
      <w:r w:rsidRPr="00176E6C">
        <w:t>bir</w:t>
      </w:r>
      <w:proofErr w:type="spellEnd"/>
      <w:r w:rsidRPr="00176E6C">
        <w:t xml:space="preserve"> </w:t>
      </w:r>
      <w:proofErr w:type="spellStart"/>
      <w:r w:rsidRPr="00176E6C">
        <w:t>kazanım</w:t>
      </w:r>
      <w:proofErr w:type="spellEnd"/>
      <w:r w:rsidRPr="00176E6C">
        <w:t xml:space="preserve"> </w:t>
      </w:r>
      <w:proofErr w:type="spellStart"/>
      <w:r w:rsidRPr="00176E6C">
        <w:t>olarak</w:t>
      </w:r>
      <w:proofErr w:type="spellEnd"/>
      <w:r w:rsidRPr="00176E6C">
        <w:t xml:space="preserve"> </w:t>
      </w:r>
      <w:proofErr w:type="spellStart"/>
      <w:r w:rsidRPr="00176E6C">
        <w:t>korunacaktır</w:t>
      </w:r>
      <w:proofErr w:type="spellEnd"/>
      <w:r w:rsidRPr="00176E6C">
        <w:t>.</w:t>
      </w:r>
    </w:p>
    <w:p w14:paraId="430B009C" w14:textId="77777777" w:rsidR="00176E6C" w:rsidRDefault="00176E6C">
      <w:pPr>
        <w:spacing w:before="160" w:after="140"/>
        <w:ind w:firstLine="567"/>
      </w:pP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968"/>
        <w:gridCol w:w="3937"/>
      </w:tblGrid>
      <w:tr w:rsidR="00176E6C" w14:paraId="05DD2B7D" w14:textId="77777777" w:rsidTr="004A5EB4">
        <w:trPr>
          <w:jc w:val="center"/>
        </w:trPr>
        <w:tc>
          <w:tcPr>
            <w:tcW w:w="1968" w:type="dxa"/>
            <w:shd w:val="clear" w:color="auto" w:fill="F9F9F9"/>
          </w:tcPr>
          <w:p w14:paraId="4F780AD1" w14:textId="77777777" w:rsidR="00176E6C" w:rsidRDefault="00176E6C" w:rsidP="004A5EB4">
            <w:proofErr w:type="spellStart"/>
            <w:r>
              <w:rPr>
                <w:rFonts w:ascii="Times New Roman" w:hAnsi="Times New Roman"/>
                <w:b/>
                <w:sz w:val="20"/>
              </w:rPr>
              <w:t>Etkinlik</w:t>
            </w:r>
            <w:proofErr w:type="spellEnd"/>
            <w:r>
              <w:rPr>
                <w:rFonts w:ascii="Times New Roman" w:hAnsi="Times New Roman"/>
                <w:b/>
                <w:sz w:val="20"/>
              </w:rPr>
              <w:t xml:space="preserve"> </w:t>
            </w:r>
            <w:proofErr w:type="spellStart"/>
            <w:r>
              <w:rPr>
                <w:rFonts w:ascii="Times New Roman" w:hAnsi="Times New Roman"/>
                <w:b/>
                <w:sz w:val="20"/>
              </w:rPr>
              <w:t>Tarihi</w:t>
            </w:r>
            <w:proofErr w:type="spellEnd"/>
          </w:p>
        </w:tc>
        <w:tc>
          <w:tcPr>
            <w:tcW w:w="3937" w:type="dxa"/>
          </w:tcPr>
          <w:p w14:paraId="4B43DF5F" w14:textId="77777777" w:rsidR="00176E6C" w:rsidRDefault="00176E6C" w:rsidP="004A5EB4">
            <w:r>
              <w:rPr>
                <w:rFonts w:ascii="Times New Roman" w:hAnsi="Times New Roman"/>
                <w:sz w:val="20"/>
              </w:rPr>
              <w:t xml:space="preserve">13 </w:t>
            </w:r>
            <w:proofErr w:type="spellStart"/>
            <w:r>
              <w:rPr>
                <w:rFonts w:ascii="Times New Roman" w:hAnsi="Times New Roman"/>
                <w:sz w:val="20"/>
              </w:rPr>
              <w:t>Mayıs</w:t>
            </w:r>
            <w:proofErr w:type="spellEnd"/>
            <w:r>
              <w:rPr>
                <w:rFonts w:ascii="Times New Roman" w:hAnsi="Times New Roman"/>
                <w:sz w:val="20"/>
              </w:rPr>
              <w:t xml:space="preserve"> 2024</w:t>
            </w:r>
          </w:p>
        </w:tc>
      </w:tr>
      <w:tr w:rsidR="00176E6C" w14:paraId="6A9EDB6D" w14:textId="77777777" w:rsidTr="004A5EB4">
        <w:trPr>
          <w:jc w:val="center"/>
        </w:trPr>
        <w:tc>
          <w:tcPr>
            <w:tcW w:w="1968" w:type="dxa"/>
            <w:shd w:val="clear" w:color="auto" w:fill="F9F9F9"/>
          </w:tcPr>
          <w:p w14:paraId="10DA0413" w14:textId="77777777" w:rsidR="00176E6C" w:rsidRDefault="00176E6C" w:rsidP="004A5EB4">
            <w:proofErr w:type="spellStart"/>
            <w:r>
              <w:rPr>
                <w:rFonts w:ascii="Times New Roman" w:hAnsi="Times New Roman"/>
                <w:b/>
                <w:sz w:val="20"/>
              </w:rPr>
              <w:t>Katılımcı</w:t>
            </w:r>
            <w:proofErr w:type="spellEnd"/>
            <w:r>
              <w:rPr>
                <w:rFonts w:ascii="Times New Roman" w:hAnsi="Times New Roman"/>
                <w:b/>
                <w:sz w:val="20"/>
              </w:rPr>
              <w:t xml:space="preserve"> </w:t>
            </w:r>
            <w:proofErr w:type="spellStart"/>
            <w:r>
              <w:rPr>
                <w:rFonts w:ascii="Times New Roman" w:hAnsi="Times New Roman"/>
                <w:b/>
                <w:sz w:val="20"/>
              </w:rPr>
              <w:t>Sayısı</w:t>
            </w:r>
            <w:proofErr w:type="spellEnd"/>
          </w:p>
        </w:tc>
        <w:tc>
          <w:tcPr>
            <w:tcW w:w="3937" w:type="dxa"/>
          </w:tcPr>
          <w:p w14:paraId="16DB0015" w14:textId="430C5C40" w:rsidR="00176E6C" w:rsidRDefault="00176E6C" w:rsidP="004A5EB4">
            <w:r>
              <w:rPr>
                <w:rFonts w:ascii="Times New Roman" w:hAnsi="Times New Roman"/>
                <w:sz w:val="20"/>
              </w:rPr>
              <w:t xml:space="preserve">38 </w:t>
            </w:r>
            <w:proofErr w:type="spellStart"/>
            <w:r>
              <w:rPr>
                <w:rFonts w:ascii="Times New Roman" w:hAnsi="Times New Roman"/>
                <w:sz w:val="20"/>
              </w:rPr>
              <w:t>Kişi</w:t>
            </w:r>
            <w:proofErr w:type="spellEnd"/>
            <w:r>
              <w:rPr>
                <w:rFonts w:ascii="Times New Roman" w:hAnsi="Times New Roman"/>
                <w:sz w:val="20"/>
              </w:rPr>
              <w:t xml:space="preserve"> </w:t>
            </w:r>
          </w:p>
        </w:tc>
      </w:tr>
      <w:tr w:rsidR="00176E6C" w14:paraId="2063476A" w14:textId="77777777" w:rsidTr="004A5EB4">
        <w:trPr>
          <w:jc w:val="center"/>
        </w:trPr>
        <w:tc>
          <w:tcPr>
            <w:tcW w:w="1968" w:type="dxa"/>
            <w:shd w:val="clear" w:color="auto" w:fill="F9F9F9"/>
          </w:tcPr>
          <w:p w14:paraId="6B54CE78" w14:textId="77777777" w:rsidR="00176E6C" w:rsidRDefault="00176E6C" w:rsidP="004A5EB4">
            <w:proofErr w:type="spellStart"/>
            <w:r>
              <w:rPr>
                <w:rFonts w:ascii="Times New Roman" w:hAnsi="Times New Roman"/>
                <w:b/>
                <w:sz w:val="20"/>
              </w:rPr>
              <w:t>Anket</w:t>
            </w:r>
            <w:proofErr w:type="spellEnd"/>
            <w:r>
              <w:rPr>
                <w:rFonts w:ascii="Times New Roman" w:hAnsi="Times New Roman"/>
                <w:b/>
                <w:sz w:val="20"/>
              </w:rPr>
              <w:t xml:space="preserve"> </w:t>
            </w:r>
            <w:proofErr w:type="spellStart"/>
            <w:r>
              <w:rPr>
                <w:rFonts w:ascii="Times New Roman" w:hAnsi="Times New Roman"/>
                <w:b/>
                <w:sz w:val="20"/>
              </w:rPr>
              <w:t>Yanıt</w:t>
            </w:r>
            <w:proofErr w:type="spellEnd"/>
            <w:r>
              <w:rPr>
                <w:rFonts w:ascii="Times New Roman" w:hAnsi="Times New Roman"/>
                <w:b/>
                <w:sz w:val="20"/>
              </w:rPr>
              <w:t xml:space="preserve"> </w:t>
            </w:r>
            <w:proofErr w:type="spellStart"/>
            <w:r>
              <w:rPr>
                <w:rFonts w:ascii="Times New Roman" w:hAnsi="Times New Roman"/>
                <w:b/>
                <w:sz w:val="20"/>
              </w:rPr>
              <w:t>Sayısı</w:t>
            </w:r>
            <w:proofErr w:type="spellEnd"/>
          </w:p>
        </w:tc>
        <w:tc>
          <w:tcPr>
            <w:tcW w:w="3937" w:type="dxa"/>
          </w:tcPr>
          <w:p w14:paraId="2F81C4AF" w14:textId="77777777" w:rsidR="00176E6C" w:rsidRDefault="00176E6C" w:rsidP="004A5EB4">
            <w:r>
              <w:rPr>
                <w:rFonts w:ascii="Times New Roman" w:hAnsi="Times New Roman"/>
                <w:sz w:val="20"/>
              </w:rPr>
              <w:t xml:space="preserve">35 </w:t>
            </w:r>
            <w:proofErr w:type="spellStart"/>
            <w:r>
              <w:rPr>
                <w:rFonts w:ascii="Times New Roman" w:hAnsi="Times New Roman"/>
                <w:sz w:val="20"/>
              </w:rPr>
              <w:t>Katılımcı</w:t>
            </w:r>
            <w:proofErr w:type="spellEnd"/>
          </w:p>
        </w:tc>
      </w:tr>
      <w:tr w:rsidR="00176E6C" w14:paraId="5C4670AB" w14:textId="77777777" w:rsidTr="004A5EB4">
        <w:trPr>
          <w:jc w:val="center"/>
        </w:trPr>
        <w:tc>
          <w:tcPr>
            <w:tcW w:w="1968" w:type="dxa"/>
            <w:shd w:val="clear" w:color="auto" w:fill="F9F9F9"/>
          </w:tcPr>
          <w:p w14:paraId="1BB77F2F" w14:textId="77777777" w:rsidR="00176E6C" w:rsidRDefault="00176E6C" w:rsidP="004A5EB4">
            <w:proofErr w:type="spellStart"/>
            <w:r>
              <w:rPr>
                <w:rFonts w:ascii="Times New Roman" w:hAnsi="Times New Roman"/>
                <w:b/>
                <w:sz w:val="20"/>
              </w:rPr>
              <w:t>Katılım</w:t>
            </w:r>
            <w:proofErr w:type="spellEnd"/>
            <w:r>
              <w:rPr>
                <w:rFonts w:ascii="Times New Roman" w:hAnsi="Times New Roman"/>
                <w:b/>
                <w:sz w:val="20"/>
              </w:rPr>
              <w:t xml:space="preserve"> / </w:t>
            </w:r>
            <w:proofErr w:type="spellStart"/>
            <w:r>
              <w:rPr>
                <w:rFonts w:ascii="Times New Roman" w:hAnsi="Times New Roman"/>
                <w:b/>
                <w:sz w:val="20"/>
              </w:rPr>
              <w:t>Anket</w:t>
            </w:r>
            <w:proofErr w:type="spellEnd"/>
            <w:r>
              <w:rPr>
                <w:rFonts w:ascii="Times New Roman" w:hAnsi="Times New Roman"/>
                <w:b/>
                <w:sz w:val="20"/>
              </w:rPr>
              <w:t xml:space="preserve"> </w:t>
            </w:r>
            <w:proofErr w:type="spellStart"/>
            <w:r>
              <w:rPr>
                <w:rFonts w:ascii="Times New Roman" w:hAnsi="Times New Roman"/>
                <w:b/>
                <w:sz w:val="20"/>
              </w:rPr>
              <w:t>Dönüş</w:t>
            </w:r>
            <w:proofErr w:type="spellEnd"/>
            <w:r>
              <w:rPr>
                <w:rFonts w:ascii="Times New Roman" w:hAnsi="Times New Roman"/>
                <w:b/>
                <w:sz w:val="20"/>
              </w:rPr>
              <w:t xml:space="preserve"> </w:t>
            </w:r>
            <w:proofErr w:type="spellStart"/>
            <w:r>
              <w:rPr>
                <w:rFonts w:ascii="Times New Roman" w:hAnsi="Times New Roman"/>
                <w:b/>
                <w:sz w:val="20"/>
              </w:rPr>
              <w:t>Oranı</w:t>
            </w:r>
            <w:proofErr w:type="spellEnd"/>
          </w:p>
        </w:tc>
        <w:tc>
          <w:tcPr>
            <w:tcW w:w="3937" w:type="dxa"/>
          </w:tcPr>
          <w:p w14:paraId="6996E119" w14:textId="77777777" w:rsidR="00176E6C" w:rsidRDefault="00176E6C" w:rsidP="004A5EB4">
            <w:r>
              <w:rPr>
                <w:rFonts w:ascii="Times New Roman" w:hAnsi="Times New Roman"/>
                <w:sz w:val="20"/>
              </w:rPr>
              <w:t>%92.0</w:t>
            </w:r>
          </w:p>
        </w:tc>
      </w:tr>
      <w:tr w:rsidR="00176E6C" w14:paraId="119D219A" w14:textId="77777777" w:rsidTr="004A5EB4">
        <w:trPr>
          <w:jc w:val="center"/>
        </w:trPr>
        <w:tc>
          <w:tcPr>
            <w:tcW w:w="1968" w:type="dxa"/>
            <w:shd w:val="clear" w:color="auto" w:fill="F9F9F9"/>
          </w:tcPr>
          <w:p w14:paraId="155D423D" w14:textId="77777777" w:rsidR="00176E6C" w:rsidRDefault="00176E6C" w:rsidP="004A5EB4">
            <w:r>
              <w:rPr>
                <w:rFonts w:ascii="Times New Roman" w:hAnsi="Times New Roman"/>
                <w:b/>
                <w:sz w:val="20"/>
              </w:rPr>
              <w:t xml:space="preserve">Genel </w:t>
            </w:r>
            <w:proofErr w:type="spellStart"/>
            <w:r>
              <w:rPr>
                <w:rFonts w:ascii="Times New Roman" w:hAnsi="Times New Roman"/>
                <w:b/>
                <w:sz w:val="20"/>
              </w:rPr>
              <w:t>Ortalama</w:t>
            </w:r>
            <w:proofErr w:type="spellEnd"/>
            <w:r>
              <w:rPr>
                <w:rFonts w:ascii="Times New Roman" w:hAnsi="Times New Roman"/>
                <w:b/>
                <w:sz w:val="20"/>
              </w:rPr>
              <w:t xml:space="preserve"> </w:t>
            </w:r>
            <w:proofErr w:type="spellStart"/>
            <w:r>
              <w:rPr>
                <w:rFonts w:ascii="Times New Roman" w:hAnsi="Times New Roman"/>
                <w:b/>
                <w:sz w:val="20"/>
              </w:rPr>
              <w:t>Memnuniyet</w:t>
            </w:r>
            <w:proofErr w:type="spellEnd"/>
          </w:p>
        </w:tc>
        <w:tc>
          <w:tcPr>
            <w:tcW w:w="3937" w:type="dxa"/>
          </w:tcPr>
          <w:p w14:paraId="35C2EA23" w14:textId="77777777" w:rsidR="00176E6C" w:rsidRDefault="00176E6C" w:rsidP="004A5EB4">
            <w:r>
              <w:rPr>
                <w:rFonts w:ascii="Times New Roman" w:hAnsi="Times New Roman"/>
                <w:sz w:val="20"/>
              </w:rPr>
              <w:t>4.79 / 5.00</w:t>
            </w:r>
          </w:p>
        </w:tc>
      </w:tr>
    </w:tbl>
    <w:p w14:paraId="198E7084" w14:textId="77777777" w:rsidR="00176E6C" w:rsidRDefault="00176E6C">
      <w:pPr>
        <w:spacing w:before="160" w:after="140"/>
        <w:ind w:firstLine="567"/>
      </w:pP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771"/>
        <w:gridCol w:w="472"/>
        <w:gridCol w:w="472"/>
        <w:gridCol w:w="472"/>
        <w:gridCol w:w="472"/>
        <w:gridCol w:w="472"/>
        <w:gridCol w:w="850"/>
        <w:gridCol w:w="590"/>
      </w:tblGrid>
      <w:tr w:rsidR="00176E6C" w14:paraId="032266FD" w14:textId="77777777" w:rsidTr="004A5EB4">
        <w:trPr>
          <w:jc w:val="center"/>
        </w:trPr>
        <w:tc>
          <w:tcPr>
            <w:tcW w:w="1771" w:type="dxa"/>
            <w:shd w:val="clear" w:color="auto" w:fill="ECECEC"/>
          </w:tcPr>
          <w:p w14:paraId="78D82758" w14:textId="77777777" w:rsidR="00176E6C" w:rsidRDefault="00176E6C" w:rsidP="004A5EB4">
            <w:r>
              <w:rPr>
                <w:rFonts w:ascii="Times New Roman" w:hAnsi="Times New Roman"/>
                <w:b/>
                <w:sz w:val="19"/>
              </w:rPr>
              <w:t xml:space="preserve">Soru </w:t>
            </w:r>
            <w:proofErr w:type="spellStart"/>
            <w:r>
              <w:rPr>
                <w:rFonts w:ascii="Times New Roman" w:hAnsi="Times New Roman"/>
                <w:b/>
                <w:sz w:val="19"/>
              </w:rPr>
              <w:t>Boyutu</w:t>
            </w:r>
            <w:proofErr w:type="spellEnd"/>
          </w:p>
        </w:tc>
        <w:tc>
          <w:tcPr>
            <w:tcW w:w="472" w:type="dxa"/>
            <w:shd w:val="clear" w:color="auto" w:fill="ECECEC"/>
          </w:tcPr>
          <w:p w14:paraId="176A5002" w14:textId="77777777" w:rsidR="00176E6C" w:rsidRDefault="00176E6C" w:rsidP="004A5EB4">
            <w:r>
              <w:rPr>
                <w:rFonts w:ascii="Times New Roman" w:hAnsi="Times New Roman"/>
                <w:b/>
                <w:sz w:val="19"/>
              </w:rPr>
              <w:t>1</w:t>
            </w:r>
          </w:p>
        </w:tc>
        <w:tc>
          <w:tcPr>
            <w:tcW w:w="472" w:type="dxa"/>
            <w:shd w:val="clear" w:color="auto" w:fill="ECECEC"/>
          </w:tcPr>
          <w:p w14:paraId="648C2C13" w14:textId="77777777" w:rsidR="00176E6C" w:rsidRDefault="00176E6C" w:rsidP="004A5EB4">
            <w:r>
              <w:rPr>
                <w:rFonts w:ascii="Times New Roman" w:hAnsi="Times New Roman"/>
                <w:b/>
                <w:sz w:val="19"/>
              </w:rPr>
              <w:t>2</w:t>
            </w:r>
          </w:p>
        </w:tc>
        <w:tc>
          <w:tcPr>
            <w:tcW w:w="472" w:type="dxa"/>
            <w:shd w:val="clear" w:color="auto" w:fill="ECECEC"/>
          </w:tcPr>
          <w:p w14:paraId="7083BC73" w14:textId="77777777" w:rsidR="00176E6C" w:rsidRDefault="00176E6C" w:rsidP="004A5EB4">
            <w:r>
              <w:rPr>
                <w:rFonts w:ascii="Times New Roman" w:hAnsi="Times New Roman"/>
                <w:b/>
                <w:sz w:val="19"/>
              </w:rPr>
              <w:t>3</w:t>
            </w:r>
          </w:p>
        </w:tc>
        <w:tc>
          <w:tcPr>
            <w:tcW w:w="472" w:type="dxa"/>
            <w:shd w:val="clear" w:color="auto" w:fill="ECECEC"/>
          </w:tcPr>
          <w:p w14:paraId="08E18908" w14:textId="77777777" w:rsidR="00176E6C" w:rsidRDefault="00176E6C" w:rsidP="004A5EB4">
            <w:r>
              <w:rPr>
                <w:rFonts w:ascii="Times New Roman" w:hAnsi="Times New Roman"/>
                <w:b/>
                <w:sz w:val="19"/>
              </w:rPr>
              <w:t>4</w:t>
            </w:r>
          </w:p>
        </w:tc>
        <w:tc>
          <w:tcPr>
            <w:tcW w:w="472" w:type="dxa"/>
            <w:shd w:val="clear" w:color="auto" w:fill="ECECEC"/>
          </w:tcPr>
          <w:p w14:paraId="4F52B81F" w14:textId="77777777" w:rsidR="00176E6C" w:rsidRDefault="00176E6C" w:rsidP="004A5EB4">
            <w:r>
              <w:rPr>
                <w:rFonts w:ascii="Times New Roman" w:hAnsi="Times New Roman"/>
                <w:b/>
                <w:sz w:val="19"/>
              </w:rPr>
              <w:t>5</w:t>
            </w:r>
          </w:p>
        </w:tc>
        <w:tc>
          <w:tcPr>
            <w:tcW w:w="590" w:type="dxa"/>
            <w:shd w:val="clear" w:color="auto" w:fill="ECECEC"/>
          </w:tcPr>
          <w:p w14:paraId="336E4A4A" w14:textId="77777777" w:rsidR="00176E6C" w:rsidRDefault="00176E6C" w:rsidP="004A5EB4">
            <w:proofErr w:type="spellStart"/>
            <w:r>
              <w:rPr>
                <w:rFonts w:ascii="Times New Roman" w:hAnsi="Times New Roman"/>
                <w:b/>
                <w:sz w:val="19"/>
              </w:rPr>
              <w:t>Toplam</w:t>
            </w:r>
            <w:proofErr w:type="spellEnd"/>
          </w:p>
        </w:tc>
        <w:tc>
          <w:tcPr>
            <w:tcW w:w="590" w:type="dxa"/>
            <w:shd w:val="clear" w:color="auto" w:fill="ECECEC"/>
          </w:tcPr>
          <w:p w14:paraId="2924C83C" w14:textId="77777777" w:rsidR="00176E6C" w:rsidRDefault="00176E6C" w:rsidP="004A5EB4">
            <w:r>
              <w:rPr>
                <w:rFonts w:ascii="Times New Roman" w:hAnsi="Times New Roman"/>
                <w:b/>
                <w:sz w:val="19"/>
              </w:rPr>
              <w:t>Ort.</w:t>
            </w:r>
          </w:p>
        </w:tc>
      </w:tr>
      <w:tr w:rsidR="00176E6C" w14:paraId="2B63473D" w14:textId="77777777" w:rsidTr="004A5EB4">
        <w:trPr>
          <w:jc w:val="center"/>
        </w:trPr>
        <w:tc>
          <w:tcPr>
            <w:tcW w:w="1771" w:type="dxa"/>
          </w:tcPr>
          <w:p w14:paraId="59D5AC6F" w14:textId="77777777" w:rsidR="00176E6C" w:rsidRDefault="00176E6C" w:rsidP="004A5EB4">
            <w:r>
              <w:rPr>
                <w:rFonts w:ascii="Times New Roman" w:hAnsi="Times New Roman"/>
                <w:b/>
                <w:sz w:val="18"/>
              </w:rPr>
              <w:t xml:space="preserve">Genel </w:t>
            </w:r>
            <w:proofErr w:type="spellStart"/>
            <w:r>
              <w:rPr>
                <w:rFonts w:ascii="Times New Roman" w:hAnsi="Times New Roman"/>
                <w:b/>
                <w:sz w:val="18"/>
              </w:rPr>
              <w:t>İçerik</w:t>
            </w:r>
            <w:proofErr w:type="spellEnd"/>
            <w:r>
              <w:rPr>
                <w:rFonts w:ascii="Times New Roman" w:hAnsi="Times New Roman"/>
                <w:b/>
                <w:sz w:val="18"/>
              </w:rPr>
              <w:t xml:space="preserve"> </w:t>
            </w:r>
            <w:proofErr w:type="spellStart"/>
            <w:r>
              <w:rPr>
                <w:rFonts w:ascii="Times New Roman" w:hAnsi="Times New Roman"/>
                <w:b/>
                <w:sz w:val="18"/>
              </w:rPr>
              <w:t>Memnuniyeti</w:t>
            </w:r>
            <w:proofErr w:type="spellEnd"/>
          </w:p>
        </w:tc>
        <w:tc>
          <w:tcPr>
            <w:tcW w:w="472" w:type="dxa"/>
          </w:tcPr>
          <w:p w14:paraId="754504D3" w14:textId="77777777" w:rsidR="00176E6C" w:rsidRDefault="00176E6C" w:rsidP="004A5EB4">
            <w:pPr>
              <w:jc w:val="center"/>
            </w:pPr>
            <w:r>
              <w:rPr>
                <w:rFonts w:ascii="Times New Roman" w:hAnsi="Times New Roman"/>
                <w:sz w:val="19"/>
              </w:rPr>
              <w:t>0</w:t>
            </w:r>
          </w:p>
        </w:tc>
        <w:tc>
          <w:tcPr>
            <w:tcW w:w="472" w:type="dxa"/>
          </w:tcPr>
          <w:p w14:paraId="73D71613" w14:textId="77777777" w:rsidR="00176E6C" w:rsidRDefault="00176E6C" w:rsidP="004A5EB4">
            <w:pPr>
              <w:jc w:val="center"/>
            </w:pPr>
            <w:r>
              <w:rPr>
                <w:rFonts w:ascii="Times New Roman" w:hAnsi="Times New Roman"/>
                <w:sz w:val="19"/>
              </w:rPr>
              <w:t>0</w:t>
            </w:r>
          </w:p>
        </w:tc>
        <w:tc>
          <w:tcPr>
            <w:tcW w:w="472" w:type="dxa"/>
          </w:tcPr>
          <w:p w14:paraId="1D76C7D2" w14:textId="77777777" w:rsidR="00176E6C" w:rsidRDefault="00176E6C" w:rsidP="004A5EB4">
            <w:pPr>
              <w:jc w:val="center"/>
            </w:pPr>
            <w:r>
              <w:rPr>
                <w:rFonts w:ascii="Times New Roman" w:hAnsi="Times New Roman"/>
                <w:sz w:val="19"/>
              </w:rPr>
              <w:t>1</w:t>
            </w:r>
          </w:p>
        </w:tc>
        <w:tc>
          <w:tcPr>
            <w:tcW w:w="472" w:type="dxa"/>
          </w:tcPr>
          <w:p w14:paraId="70DC92EF" w14:textId="77777777" w:rsidR="00176E6C" w:rsidRDefault="00176E6C" w:rsidP="004A5EB4">
            <w:pPr>
              <w:jc w:val="center"/>
            </w:pPr>
            <w:r>
              <w:rPr>
                <w:rFonts w:ascii="Times New Roman" w:hAnsi="Times New Roman"/>
                <w:sz w:val="19"/>
              </w:rPr>
              <w:t>10</w:t>
            </w:r>
          </w:p>
        </w:tc>
        <w:tc>
          <w:tcPr>
            <w:tcW w:w="472" w:type="dxa"/>
          </w:tcPr>
          <w:p w14:paraId="58FDDE3F" w14:textId="77777777" w:rsidR="00176E6C" w:rsidRDefault="00176E6C" w:rsidP="004A5EB4">
            <w:pPr>
              <w:jc w:val="center"/>
            </w:pPr>
            <w:r>
              <w:rPr>
                <w:rFonts w:ascii="Times New Roman" w:hAnsi="Times New Roman"/>
                <w:sz w:val="19"/>
              </w:rPr>
              <w:t>24</w:t>
            </w:r>
          </w:p>
        </w:tc>
        <w:tc>
          <w:tcPr>
            <w:tcW w:w="590" w:type="dxa"/>
          </w:tcPr>
          <w:p w14:paraId="1E4407CE" w14:textId="77777777" w:rsidR="00176E6C" w:rsidRDefault="00176E6C" w:rsidP="004A5EB4">
            <w:pPr>
              <w:jc w:val="center"/>
            </w:pPr>
            <w:r>
              <w:rPr>
                <w:rFonts w:ascii="Times New Roman" w:hAnsi="Times New Roman"/>
                <w:sz w:val="19"/>
              </w:rPr>
              <w:t>35</w:t>
            </w:r>
          </w:p>
        </w:tc>
        <w:tc>
          <w:tcPr>
            <w:tcW w:w="590" w:type="dxa"/>
          </w:tcPr>
          <w:p w14:paraId="32EC3969" w14:textId="77777777" w:rsidR="00176E6C" w:rsidRDefault="00176E6C" w:rsidP="004A5EB4">
            <w:pPr>
              <w:jc w:val="center"/>
            </w:pPr>
            <w:r>
              <w:rPr>
                <w:rFonts w:ascii="Times New Roman" w:hAnsi="Times New Roman"/>
                <w:b/>
                <w:sz w:val="19"/>
              </w:rPr>
              <w:t>4.80</w:t>
            </w:r>
          </w:p>
        </w:tc>
      </w:tr>
      <w:tr w:rsidR="00176E6C" w14:paraId="6305A1F3" w14:textId="77777777" w:rsidTr="004A5EB4">
        <w:trPr>
          <w:jc w:val="center"/>
        </w:trPr>
        <w:tc>
          <w:tcPr>
            <w:tcW w:w="1771" w:type="dxa"/>
          </w:tcPr>
          <w:p w14:paraId="1AB0BDB0" w14:textId="77777777" w:rsidR="00176E6C" w:rsidRDefault="00176E6C" w:rsidP="004A5EB4">
            <w:proofErr w:type="spellStart"/>
            <w:r>
              <w:rPr>
                <w:rFonts w:ascii="Times New Roman" w:hAnsi="Times New Roman"/>
                <w:b/>
                <w:sz w:val="18"/>
              </w:rPr>
              <w:t>Kariyer</w:t>
            </w:r>
            <w:proofErr w:type="spellEnd"/>
            <w:r>
              <w:rPr>
                <w:rFonts w:ascii="Times New Roman" w:hAnsi="Times New Roman"/>
                <w:b/>
                <w:sz w:val="18"/>
              </w:rPr>
              <w:t>/</w:t>
            </w:r>
            <w:proofErr w:type="spellStart"/>
            <w:r>
              <w:rPr>
                <w:rFonts w:ascii="Times New Roman" w:hAnsi="Times New Roman"/>
                <w:b/>
                <w:sz w:val="18"/>
              </w:rPr>
              <w:t>Kişisel</w:t>
            </w:r>
            <w:proofErr w:type="spellEnd"/>
            <w:r>
              <w:rPr>
                <w:rFonts w:ascii="Times New Roman" w:hAnsi="Times New Roman"/>
                <w:b/>
                <w:sz w:val="18"/>
              </w:rPr>
              <w:t xml:space="preserve"> </w:t>
            </w:r>
            <w:proofErr w:type="spellStart"/>
            <w:r>
              <w:rPr>
                <w:rFonts w:ascii="Times New Roman" w:hAnsi="Times New Roman"/>
                <w:b/>
                <w:sz w:val="18"/>
              </w:rPr>
              <w:t>Gelişim</w:t>
            </w:r>
            <w:proofErr w:type="spellEnd"/>
            <w:r>
              <w:rPr>
                <w:rFonts w:ascii="Times New Roman" w:hAnsi="Times New Roman"/>
                <w:b/>
                <w:sz w:val="18"/>
              </w:rPr>
              <w:t xml:space="preserve"> </w:t>
            </w:r>
            <w:proofErr w:type="spellStart"/>
            <w:r>
              <w:rPr>
                <w:rFonts w:ascii="Times New Roman" w:hAnsi="Times New Roman"/>
                <w:b/>
                <w:sz w:val="18"/>
              </w:rPr>
              <w:t>Katkısı</w:t>
            </w:r>
            <w:proofErr w:type="spellEnd"/>
          </w:p>
        </w:tc>
        <w:tc>
          <w:tcPr>
            <w:tcW w:w="472" w:type="dxa"/>
          </w:tcPr>
          <w:p w14:paraId="0969CA34" w14:textId="77777777" w:rsidR="00176E6C" w:rsidRDefault="00176E6C" w:rsidP="004A5EB4">
            <w:pPr>
              <w:jc w:val="center"/>
            </w:pPr>
            <w:r>
              <w:rPr>
                <w:rFonts w:ascii="Times New Roman" w:hAnsi="Times New Roman"/>
                <w:sz w:val="19"/>
              </w:rPr>
              <w:t>0</w:t>
            </w:r>
          </w:p>
        </w:tc>
        <w:tc>
          <w:tcPr>
            <w:tcW w:w="472" w:type="dxa"/>
          </w:tcPr>
          <w:p w14:paraId="3A7EE862" w14:textId="77777777" w:rsidR="00176E6C" w:rsidRDefault="00176E6C" w:rsidP="004A5EB4">
            <w:pPr>
              <w:jc w:val="center"/>
            </w:pPr>
            <w:r>
              <w:rPr>
                <w:rFonts w:ascii="Times New Roman" w:hAnsi="Times New Roman"/>
                <w:sz w:val="19"/>
              </w:rPr>
              <w:t>0</w:t>
            </w:r>
          </w:p>
        </w:tc>
        <w:tc>
          <w:tcPr>
            <w:tcW w:w="472" w:type="dxa"/>
          </w:tcPr>
          <w:p w14:paraId="31A5D9FC" w14:textId="77777777" w:rsidR="00176E6C" w:rsidRDefault="00176E6C" w:rsidP="004A5EB4">
            <w:pPr>
              <w:jc w:val="center"/>
            </w:pPr>
            <w:r>
              <w:rPr>
                <w:rFonts w:ascii="Times New Roman" w:hAnsi="Times New Roman"/>
                <w:sz w:val="19"/>
              </w:rPr>
              <w:t>1</w:t>
            </w:r>
          </w:p>
        </w:tc>
        <w:tc>
          <w:tcPr>
            <w:tcW w:w="472" w:type="dxa"/>
          </w:tcPr>
          <w:p w14:paraId="42A85EFB" w14:textId="77777777" w:rsidR="00176E6C" w:rsidRDefault="00176E6C" w:rsidP="004A5EB4">
            <w:pPr>
              <w:jc w:val="center"/>
            </w:pPr>
            <w:r>
              <w:rPr>
                <w:rFonts w:ascii="Times New Roman" w:hAnsi="Times New Roman"/>
                <w:sz w:val="19"/>
              </w:rPr>
              <w:t>10</w:t>
            </w:r>
          </w:p>
        </w:tc>
        <w:tc>
          <w:tcPr>
            <w:tcW w:w="472" w:type="dxa"/>
          </w:tcPr>
          <w:p w14:paraId="50509322" w14:textId="77777777" w:rsidR="00176E6C" w:rsidRDefault="00176E6C" w:rsidP="004A5EB4">
            <w:pPr>
              <w:jc w:val="center"/>
            </w:pPr>
            <w:r>
              <w:rPr>
                <w:rFonts w:ascii="Times New Roman" w:hAnsi="Times New Roman"/>
                <w:sz w:val="19"/>
              </w:rPr>
              <w:t>24</w:t>
            </w:r>
          </w:p>
        </w:tc>
        <w:tc>
          <w:tcPr>
            <w:tcW w:w="590" w:type="dxa"/>
          </w:tcPr>
          <w:p w14:paraId="3E2951EC" w14:textId="77777777" w:rsidR="00176E6C" w:rsidRDefault="00176E6C" w:rsidP="004A5EB4">
            <w:pPr>
              <w:jc w:val="center"/>
            </w:pPr>
            <w:r>
              <w:rPr>
                <w:rFonts w:ascii="Times New Roman" w:hAnsi="Times New Roman"/>
                <w:sz w:val="19"/>
              </w:rPr>
              <w:t>35</w:t>
            </w:r>
          </w:p>
        </w:tc>
        <w:tc>
          <w:tcPr>
            <w:tcW w:w="590" w:type="dxa"/>
          </w:tcPr>
          <w:p w14:paraId="5238AB04" w14:textId="77777777" w:rsidR="00176E6C" w:rsidRDefault="00176E6C" w:rsidP="004A5EB4">
            <w:pPr>
              <w:jc w:val="center"/>
            </w:pPr>
            <w:r>
              <w:rPr>
                <w:rFonts w:ascii="Times New Roman" w:hAnsi="Times New Roman"/>
                <w:b/>
                <w:sz w:val="19"/>
              </w:rPr>
              <w:t>4.70</w:t>
            </w:r>
          </w:p>
        </w:tc>
      </w:tr>
      <w:tr w:rsidR="00176E6C" w14:paraId="519E3AA8" w14:textId="77777777" w:rsidTr="004A5EB4">
        <w:trPr>
          <w:jc w:val="center"/>
        </w:trPr>
        <w:tc>
          <w:tcPr>
            <w:tcW w:w="1771" w:type="dxa"/>
          </w:tcPr>
          <w:p w14:paraId="6A22DDE3" w14:textId="77777777" w:rsidR="00176E6C" w:rsidRDefault="00176E6C" w:rsidP="004A5EB4">
            <w:proofErr w:type="spellStart"/>
            <w:r>
              <w:rPr>
                <w:rFonts w:ascii="Times New Roman" w:hAnsi="Times New Roman"/>
                <w:b/>
                <w:sz w:val="18"/>
              </w:rPr>
              <w:t>Konuşmacı</w:t>
            </w:r>
            <w:proofErr w:type="spellEnd"/>
            <w:r>
              <w:rPr>
                <w:rFonts w:ascii="Times New Roman" w:hAnsi="Times New Roman"/>
                <w:b/>
                <w:sz w:val="18"/>
              </w:rPr>
              <w:t>/</w:t>
            </w:r>
            <w:proofErr w:type="spellStart"/>
            <w:r>
              <w:rPr>
                <w:rFonts w:ascii="Times New Roman" w:hAnsi="Times New Roman"/>
                <w:b/>
                <w:sz w:val="18"/>
              </w:rPr>
              <w:t>Sunum</w:t>
            </w:r>
            <w:proofErr w:type="spellEnd"/>
            <w:r>
              <w:rPr>
                <w:rFonts w:ascii="Times New Roman" w:hAnsi="Times New Roman"/>
                <w:b/>
                <w:sz w:val="18"/>
              </w:rPr>
              <w:t xml:space="preserve"> </w:t>
            </w:r>
            <w:proofErr w:type="spellStart"/>
            <w:r>
              <w:rPr>
                <w:rFonts w:ascii="Times New Roman" w:hAnsi="Times New Roman"/>
                <w:b/>
                <w:sz w:val="18"/>
              </w:rPr>
              <w:t>Kalitesi</w:t>
            </w:r>
            <w:proofErr w:type="spellEnd"/>
          </w:p>
        </w:tc>
        <w:tc>
          <w:tcPr>
            <w:tcW w:w="472" w:type="dxa"/>
          </w:tcPr>
          <w:p w14:paraId="56A73BE8" w14:textId="77777777" w:rsidR="00176E6C" w:rsidRDefault="00176E6C" w:rsidP="004A5EB4">
            <w:pPr>
              <w:jc w:val="center"/>
            </w:pPr>
            <w:r>
              <w:rPr>
                <w:rFonts w:ascii="Times New Roman" w:hAnsi="Times New Roman"/>
                <w:sz w:val="19"/>
              </w:rPr>
              <w:t>0</w:t>
            </w:r>
          </w:p>
        </w:tc>
        <w:tc>
          <w:tcPr>
            <w:tcW w:w="472" w:type="dxa"/>
          </w:tcPr>
          <w:p w14:paraId="68B22971" w14:textId="77777777" w:rsidR="00176E6C" w:rsidRDefault="00176E6C" w:rsidP="004A5EB4">
            <w:pPr>
              <w:jc w:val="center"/>
            </w:pPr>
            <w:r>
              <w:rPr>
                <w:rFonts w:ascii="Times New Roman" w:hAnsi="Times New Roman"/>
                <w:sz w:val="19"/>
              </w:rPr>
              <w:t>0</w:t>
            </w:r>
          </w:p>
        </w:tc>
        <w:tc>
          <w:tcPr>
            <w:tcW w:w="472" w:type="dxa"/>
          </w:tcPr>
          <w:p w14:paraId="15ECBF0D" w14:textId="77777777" w:rsidR="00176E6C" w:rsidRDefault="00176E6C" w:rsidP="004A5EB4">
            <w:pPr>
              <w:jc w:val="center"/>
            </w:pPr>
            <w:r>
              <w:rPr>
                <w:rFonts w:ascii="Times New Roman" w:hAnsi="Times New Roman"/>
                <w:sz w:val="19"/>
              </w:rPr>
              <w:t>0</w:t>
            </w:r>
          </w:p>
        </w:tc>
        <w:tc>
          <w:tcPr>
            <w:tcW w:w="472" w:type="dxa"/>
          </w:tcPr>
          <w:p w14:paraId="366A17E3" w14:textId="77777777" w:rsidR="00176E6C" w:rsidRDefault="00176E6C" w:rsidP="004A5EB4">
            <w:pPr>
              <w:jc w:val="center"/>
            </w:pPr>
            <w:r>
              <w:rPr>
                <w:rFonts w:ascii="Times New Roman" w:hAnsi="Times New Roman"/>
                <w:sz w:val="19"/>
              </w:rPr>
              <w:t>9</w:t>
            </w:r>
          </w:p>
        </w:tc>
        <w:tc>
          <w:tcPr>
            <w:tcW w:w="472" w:type="dxa"/>
          </w:tcPr>
          <w:p w14:paraId="1F2321DB" w14:textId="77777777" w:rsidR="00176E6C" w:rsidRDefault="00176E6C" w:rsidP="004A5EB4">
            <w:pPr>
              <w:jc w:val="center"/>
            </w:pPr>
            <w:r>
              <w:rPr>
                <w:rFonts w:ascii="Times New Roman" w:hAnsi="Times New Roman"/>
                <w:sz w:val="19"/>
              </w:rPr>
              <w:t>26</w:t>
            </w:r>
          </w:p>
        </w:tc>
        <w:tc>
          <w:tcPr>
            <w:tcW w:w="590" w:type="dxa"/>
          </w:tcPr>
          <w:p w14:paraId="21D67F7D" w14:textId="77777777" w:rsidR="00176E6C" w:rsidRDefault="00176E6C" w:rsidP="004A5EB4">
            <w:pPr>
              <w:jc w:val="center"/>
            </w:pPr>
            <w:r>
              <w:rPr>
                <w:rFonts w:ascii="Times New Roman" w:hAnsi="Times New Roman"/>
                <w:sz w:val="19"/>
              </w:rPr>
              <w:t>35</w:t>
            </w:r>
          </w:p>
        </w:tc>
        <w:tc>
          <w:tcPr>
            <w:tcW w:w="590" w:type="dxa"/>
          </w:tcPr>
          <w:p w14:paraId="3CE5A957" w14:textId="77777777" w:rsidR="00176E6C" w:rsidRDefault="00176E6C" w:rsidP="004A5EB4">
            <w:pPr>
              <w:jc w:val="center"/>
            </w:pPr>
            <w:r>
              <w:rPr>
                <w:rFonts w:ascii="Times New Roman" w:hAnsi="Times New Roman"/>
                <w:b/>
                <w:sz w:val="19"/>
              </w:rPr>
              <w:t>4.90</w:t>
            </w:r>
          </w:p>
        </w:tc>
      </w:tr>
      <w:tr w:rsidR="00176E6C" w14:paraId="11D66CF1" w14:textId="77777777" w:rsidTr="004A5EB4">
        <w:trPr>
          <w:jc w:val="center"/>
        </w:trPr>
        <w:tc>
          <w:tcPr>
            <w:tcW w:w="1771" w:type="dxa"/>
          </w:tcPr>
          <w:p w14:paraId="3E3D26E2" w14:textId="77777777" w:rsidR="00176E6C" w:rsidRDefault="00176E6C" w:rsidP="004A5EB4">
            <w:proofErr w:type="spellStart"/>
            <w:r>
              <w:rPr>
                <w:rFonts w:ascii="Times New Roman" w:hAnsi="Times New Roman"/>
                <w:b/>
                <w:sz w:val="18"/>
              </w:rPr>
              <w:t>Organizasyon</w:t>
            </w:r>
            <w:proofErr w:type="spellEnd"/>
            <w:r>
              <w:rPr>
                <w:rFonts w:ascii="Times New Roman" w:hAnsi="Times New Roman"/>
                <w:b/>
                <w:sz w:val="18"/>
              </w:rPr>
              <w:t xml:space="preserve"> </w:t>
            </w:r>
            <w:proofErr w:type="spellStart"/>
            <w:r>
              <w:rPr>
                <w:rFonts w:ascii="Times New Roman" w:hAnsi="Times New Roman"/>
                <w:b/>
                <w:sz w:val="18"/>
              </w:rPr>
              <w:t>Düzeyi</w:t>
            </w:r>
            <w:proofErr w:type="spellEnd"/>
          </w:p>
        </w:tc>
        <w:tc>
          <w:tcPr>
            <w:tcW w:w="472" w:type="dxa"/>
          </w:tcPr>
          <w:p w14:paraId="4B097C80" w14:textId="77777777" w:rsidR="00176E6C" w:rsidRDefault="00176E6C" w:rsidP="004A5EB4">
            <w:pPr>
              <w:jc w:val="center"/>
            </w:pPr>
            <w:r>
              <w:rPr>
                <w:rFonts w:ascii="Times New Roman" w:hAnsi="Times New Roman"/>
                <w:sz w:val="19"/>
              </w:rPr>
              <w:t>0</w:t>
            </w:r>
          </w:p>
        </w:tc>
        <w:tc>
          <w:tcPr>
            <w:tcW w:w="472" w:type="dxa"/>
          </w:tcPr>
          <w:p w14:paraId="45FA1085" w14:textId="77777777" w:rsidR="00176E6C" w:rsidRDefault="00176E6C" w:rsidP="004A5EB4">
            <w:pPr>
              <w:jc w:val="center"/>
            </w:pPr>
            <w:r>
              <w:rPr>
                <w:rFonts w:ascii="Times New Roman" w:hAnsi="Times New Roman"/>
                <w:sz w:val="19"/>
              </w:rPr>
              <w:t>0</w:t>
            </w:r>
          </w:p>
        </w:tc>
        <w:tc>
          <w:tcPr>
            <w:tcW w:w="472" w:type="dxa"/>
          </w:tcPr>
          <w:p w14:paraId="255885E0" w14:textId="77777777" w:rsidR="00176E6C" w:rsidRDefault="00176E6C" w:rsidP="004A5EB4">
            <w:pPr>
              <w:jc w:val="center"/>
            </w:pPr>
            <w:r>
              <w:rPr>
                <w:rFonts w:ascii="Times New Roman" w:hAnsi="Times New Roman"/>
                <w:sz w:val="19"/>
              </w:rPr>
              <w:t>0</w:t>
            </w:r>
          </w:p>
        </w:tc>
        <w:tc>
          <w:tcPr>
            <w:tcW w:w="472" w:type="dxa"/>
          </w:tcPr>
          <w:p w14:paraId="5014A7C2" w14:textId="77777777" w:rsidR="00176E6C" w:rsidRDefault="00176E6C" w:rsidP="004A5EB4">
            <w:pPr>
              <w:jc w:val="center"/>
            </w:pPr>
            <w:r>
              <w:rPr>
                <w:rFonts w:ascii="Times New Roman" w:hAnsi="Times New Roman"/>
                <w:sz w:val="19"/>
              </w:rPr>
              <w:t>6</w:t>
            </w:r>
          </w:p>
        </w:tc>
        <w:tc>
          <w:tcPr>
            <w:tcW w:w="472" w:type="dxa"/>
          </w:tcPr>
          <w:p w14:paraId="43749EF5" w14:textId="77777777" w:rsidR="00176E6C" w:rsidRDefault="00176E6C" w:rsidP="004A5EB4">
            <w:pPr>
              <w:jc w:val="center"/>
            </w:pPr>
            <w:r>
              <w:rPr>
                <w:rFonts w:ascii="Times New Roman" w:hAnsi="Times New Roman"/>
                <w:sz w:val="19"/>
              </w:rPr>
              <w:t>29</w:t>
            </w:r>
          </w:p>
        </w:tc>
        <w:tc>
          <w:tcPr>
            <w:tcW w:w="590" w:type="dxa"/>
          </w:tcPr>
          <w:p w14:paraId="6C0302E7" w14:textId="77777777" w:rsidR="00176E6C" w:rsidRDefault="00176E6C" w:rsidP="004A5EB4">
            <w:pPr>
              <w:jc w:val="center"/>
            </w:pPr>
            <w:r>
              <w:rPr>
                <w:rFonts w:ascii="Times New Roman" w:hAnsi="Times New Roman"/>
                <w:sz w:val="19"/>
              </w:rPr>
              <w:t>35</w:t>
            </w:r>
          </w:p>
        </w:tc>
        <w:tc>
          <w:tcPr>
            <w:tcW w:w="590" w:type="dxa"/>
          </w:tcPr>
          <w:p w14:paraId="4A935952" w14:textId="77777777" w:rsidR="00176E6C" w:rsidRDefault="00176E6C" w:rsidP="004A5EB4">
            <w:pPr>
              <w:jc w:val="center"/>
            </w:pPr>
            <w:r>
              <w:rPr>
                <w:rFonts w:ascii="Times New Roman" w:hAnsi="Times New Roman"/>
                <w:b/>
                <w:sz w:val="19"/>
              </w:rPr>
              <w:t>4.82</w:t>
            </w:r>
          </w:p>
        </w:tc>
      </w:tr>
      <w:tr w:rsidR="00176E6C" w14:paraId="68C9D987" w14:textId="77777777" w:rsidTr="004A5EB4">
        <w:trPr>
          <w:jc w:val="center"/>
        </w:trPr>
        <w:tc>
          <w:tcPr>
            <w:tcW w:w="1771" w:type="dxa"/>
          </w:tcPr>
          <w:p w14:paraId="6A1E1E55" w14:textId="77777777" w:rsidR="00176E6C" w:rsidRDefault="00176E6C" w:rsidP="004A5EB4">
            <w:r>
              <w:rPr>
                <w:rFonts w:ascii="Times New Roman" w:hAnsi="Times New Roman"/>
                <w:b/>
                <w:sz w:val="18"/>
              </w:rPr>
              <w:t xml:space="preserve">Genel </w:t>
            </w:r>
            <w:proofErr w:type="spellStart"/>
            <w:r>
              <w:rPr>
                <w:rFonts w:ascii="Times New Roman" w:hAnsi="Times New Roman"/>
                <w:b/>
                <w:sz w:val="18"/>
              </w:rPr>
              <w:t>Memnuniyet</w:t>
            </w:r>
            <w:proofErr w:type="spellEnd"/>
            <w:r>
              <w:rPr>
                <w:rFonts w:ascii="Times New Roman" w:hAnsi="Times New Roman"/>
                <w:b/>
                <w:sz w:val="18"/>
              </w:rPr>
              <w:t xml:space="preserve"> </w:t>
            </w:r>
            <w:proofErr w:type="spellStart"/>
            <w:r>
              <w:rPr>
                <w:rFonts w:ascii="Times New Roman" w:hAnsi="Times New Roman"/>
                <w:b/>
                <w:sz w:val="18"/>
              </w:rPr>
              <w:t>ve</w:t>
            </w:r>
            <w:proofErr w:type="spellEnd"/>
            <w:r>
              <w:rPr>
                <w:rFonts w:ascii="Times New Roman" w:hAnsi="Times New Roman"/>
                <w:b/>
                <w:sz w:val="18"/>
              </w:rPr>
              <w:t xml:space="preserve"> </w:t>
            </w:r>
            <w:proofErr w:type="spellStart"/>
            <w:r>
              <w:rPr>
                <w:rFonts w:ascii="Times New Roman" w:hAnsi="Times New Roman"/>
                <w:b/>
                <w:sz w:val="18"/>
              </w:rPr>
              <w:t>Yeniden</w:t>
            </w:r>
            <w:proofErr w:type="spellEnd"/>
            <w:r>
              <w:rPr>
                <w:rFonts w:ascii="Times New Roman" w:hAnsi="Times New Roman"/>
                <w:b/>
                <w:sz w:val="18"/>
              </w:rPr>
              <w:t xml:space="preserve"> </w:t>
            </w:r>
            <w:proofErr w:type="spellStart"/>
            <w:r>
              <w:rPr>
                <w:rFonts w:ascii="Times New Roman" w:hAnsi="Times New Roman"/>
                <w:b/>
                <w:sz w:val="18"/>
              </w:rPr>
              <w:t>Katılım</w:t>
            </w:r>
            <w:proofErr w:type="spellEnd"/>
            <w:r>
              <w:rPr>
                <w:rFonts w:ascii="Times New Roman" w:hAnsi="Times New Roman"/>
                <w:b/>
                <w:sz w:val="18"/>
              </w:rPr>
              <w:t xml:space="preserve"> </w:t>
            </w:r>
            <w:proofErr w:type="spellStart"/>
            <w:r>
              <w:rPr>
                <w:rFonts w:ascii="Times New Roman" w:hAnsi="Times New Roman"/>
                <w:b/>
                <w:sz w:val="18"/>
              </w:rPr>
              <w:lastRenderedPageBreak/>
              <w:t>İsteği</w:t>
            </w:r>
            <w:proofErr w:type="spellEnd"/>
          </w:p>
        </w:tc>
        <w:tc>
          <w:tcPr>
            <w:tcW w:w="472" w:type="dxa"/>
          </w:tcPr>
          <w:p w14:paraId="207E9958" w14:textId="77777777" w:rsidR="00176E6C" w:rsidRDefault="00176E6C" w:rsidP="004A5EB4">
            <w:pPr>
              <w:jc w:val="center"/>
            </w:pPr>
            <w:r>
              <w:rPr>
                <w:rFonts w:ascii="Times New Roman" w:hAnsi="Times New Roman"/>
                <w:sz w:val="19"/>
              </w:rPr>
              <w:lastRenderedPageBreak/>
              <w:t>0</w:t>
            </w:r>
          </w:p>
        </w:tc>
        <w:tc>
          <w:tcPr>
            <w:tcW w:w="472" w:type="dxa"/>
          </w:tcPr>
          <w:p w14:paraId="33CD7F1D" w14:textId="77777777" w:rsidR="00176E6C" w:rsidRDefault="00176E6C" w:rsidP="004A5EB4">
            <w:pPr>
              <w:jc w:val="center"/>
            </w:pPr>
            <w:r>
              <w:rPr>
                <w:rFonts w:ascii="Times New Roman" w:hAnsi="Times New Roman"/>
                <w:sz w:val="19"/>
              </w:rPr>
              <w:t>0</w:t>
            </w:r>
          </w:p>
        </w:tc>
        <w:tc>
          <w:tcPr>
            <w:tcW w:w="472" w:type="dxa"/>
          </w:tcPr>
          <w:p w14:paraId="6D925393" w14:textId="77777777" w:rsidR="00176E6C" w:rsidRDefault="00176E6C" w:rsidP="004A5EB4">
            <w:pPr>
              <w:jc w:val="center"/>
            </w:pPr>
            <w:r>
              <w:rPr>
                <w:rFonts w:ascii="Times New Roman" w:hAnsi="Times New Roman"/>
                <w:sz w:val="19"/>
              </w:rPr>
              <w:t>3</w:t>
            </w:r>
          </w:p>
        </w:tc>
        <w:tc>
          <w:tcPr>
            <w:tcW w:w="472" w:type="dxa"/>
          </w:tcPr>
          <w:p w14:paraId="219D18A7" w14:textId="77777777" w:rsidR="00176E6C" w:rsidRDefault="00176E6C" w:rsidP="004A5EB4">
            <w:pPr>
              <w:jc w:val="center"/>
            </w:pPr>
            <w:r>
              <w:rPr>
                <w:rFonts w:ascii="Times New Roman" w:hAnsi="Times New Roman"/>
                <w:sz w:val="19"/>
              </w:rPr>
              <w:t>9</w:t>
            </w:r>
          </w:p>
        </w:tc>
        <w:tc>
          <w:tcPr>
            <w:tcW w:w="472" w:type="dxa"/>
          </w:tcPr>
          <w:p w14:paraId="22C78806" w14:textId="77777777" w:rsidR="00176E6C" w:rsidRDefault="00176E6C" w:rsidP="004A5EB4">
            <w:pPr>
              <w:jc w:val="center"/>
            </w:pPr>
            <w:r>
              <w:rPr>
                <w:rFonts w:ascii="Times New Roman" w:hAnsi="Times New Roman"/>
                <w:sz w:val="19"/>
              </w:rPr>
              <w:t>23</w:t>
            </w:r>
          </w:p>
        </w:tc>
        <w:tc>
          <w:tcPr>
            <w:tcW w:w="590" w:type="dxa"/>
          </w:tcPr>
          <w:p w14:paraId="5BBA2159" w14:textId="77777777" w:rsidR="00176E6C" w:rsidRDefault="00176E6C" w:rsidP="004A5EB4">
            <w:pPr>
              <w:jc w:val="center"/>
            </w:pPr>
            <w:r>
              <w:rPr>
                <w:rFonts w:ascii="Times New Roman" w:hAnsi="Times New Roman"/>
                <w:sz w:val="19"/>
              </w:rPr>
              <w:t>35</w:t>
            </w:r>
          </w:p>
        </w:tc>
        <w:tc>
          <w:tcPr>
            <w:tcW w:w="590" w:type="dxa"/>
          </w:tcPr>
          <w:p w14:paraId="0E9E4500" w14:textId="77777777" w:rsidR="00176E6C" w:rsidRDefault="00176E6C" w:rsidP="004A5EB4">
            <w:pPr>
              <w:jc w:val="center"/>
            </w:pPr>
            <w:r>
              <w:rPr>
                <w:rFonts w:ascii="Times New Roman" w:hAnsi="Times New Roman"/>
                <w:b/>
                <w:sz w:val="19"/>
              </w:rPr>
              <w:t>4.71</w:t>
            </w:r>
          </w:p>
        </w:tc>
      </w:tr>
    </w:tbl>
    <w:p w14:paraId="490D5A96" w14:textId="77777777" w:rsidR="00176E6C" w:rsidRPr="00176E6C" w:rsidRDefault="00176E6C">
      <w:pPr>
        <w:spacing w:before="160" w:after="140"/>
        <w:ind w:firstLine="567"/>
      </w:pPr>
    </w:p>
    <w:p w14:paraId="5A975986" w14:textId="77777777" w:rsidR="000E6940" w:rsidRDefault="000E6940">
      <w:pPr>
        <w:pBdr>
          <w:bottom w:val="single" w:sz="4" w:space="1" w:color="DADCE0"/>
        </w:pBdr>
        <w:spacing w:before="80" w:after="80"/>
      </w:pPr>
    </w:p>
    <w:p w14:paraId="4561DF7E" w14:textId="77777777" w:rsidR="00176E6C" w:rsidRPr="00176E6C" w:rsidRDefault="00176E6C">
      <w:pPr>
        <w:pBdr>
          <w:bottom w:val="single" w:sz="4" w:space="1" w:color="DADCE0"/>
        </w:pBdr>
        <w:spacing w:before="80" w:after="80"/>
      </w:pPr>
    </w:p>
    <w:p w14:paraId="1E6531F2" w14:textId="77777777" w:rsidR="000E6940" w:rsidRPr="00176E6C" w:rsidRDefault="00000000">
      <w:pPr>
        <w:jc w:val="right"/>
      </w:pPr>
      <w:r w:rsidRPr="00176E6C">
        <w:rPr>
          <w:b/>
          <w:sz w:val="20"/>
        </w:rPr>
        <w:t xml:space="preserve">TORKARMER Kalite </w:t>
      </w:r>
      <w:proofErr w:type="spellStart"/>
      <w:r w:rsidRPr="00176E6C">
        <w:rPr>
          <w:b/>
          <w:sz w:val="20"/>
        </w:rPr>
        <w:t>ve</w:t>
      </w:r>
      <w:proofErr w:type="spellEnd"/>
      <w:r w:rsidRPr="00176E6C">
        <w:rPr>
          <w:b/>
          <w:sz w:val="20"/>
        </w:rPr>
        <w:t xml:space="preserve"> </w:t>
      </w:r>
      <w:proofErr w:type="spellStart"/>
      <w:r w:rsidRPr="00176E6C">
        <w:rPr>
          <w:b/>
          <w:sz w:val="20"/>
        </w:rPr>
        <w:t>Akreditasyon</w:t>
      </w:r>
      <w:proofErr w:type="spellEnd"/>
      <w:r w:rsidRPr="00176E6C">
        <w:rPr>
          <w:b/>
          <w:sz w:val="20"/>
        </w:rPr>
        <w:t xml:space="preserve"> Komisyonu</w:t>
      </w:r>
      <w:r w:rsidRPr="00176E6C">
        <w:rPr>
          <w:b/>
          <w:sz w:val="20"/>
        </w:rPr>
        <w:br/>
        <w:t>Toros Üniversitesi Kariyer ve Araştırma Merkezi Müdürlüğü</w:t>
      </w:r>
    </w:p>
    <w:sectPr w:rsidR="000E6940" w:rsidRPr="00176E6C"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121190043">
    <w:abstractNumId w:val="8"/>
  </w:num>
  <w:num w:numId="2" w16cid:durableId="641807719">
    <w:abstractNumId w:val="6"/>
  </w:num>
  <w:num w:numId="3" w16cid:durableId="145241004">
    <w:abstractNumId w:val="5"/>
  </w:num>
  <w:num w:numId="4" w16cid:durableId="1628775824">
    <w:abstractNumId w:val="4"/>
  </w:num>
  <w:num w:numId="5" w16cid:durableId="817645132">
    <w:abstractNumId w:val="7"/>
  </w:num>
  <w:num w:numId="6" w16cid:durableId="2067947766">
    <w:abstractNumId w:val="3"/>
  </w:num>
  <w:num w:numId="7" w16cid:durableId="447898678">
    <w:abstractNumId w:val="2"/>
  </w:num>
  <w:num w:numId="8" w16cid:durableId="1103040282">
    <w:abstractNumId w:val="1"/>
  </w:num>
  <w:num w:numId="9" w16cid:durableId="32332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6940"/>
    <w:rsid w:val="0015074B"/>
    <w:rsid w:val="00176E6C"/>
    <w:rsid w:val="002105B9"/>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0A4B0"/>
  <w14:defaultImageDpi w14:val="300"/>
  <w15:docId w15:val="{5DFC84A6-3A6B-43E1-882F-7D50DBF9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Saridogan</cp:lastModifiedBy>
  <cp:revision>2</cp:revision>
  <dcterms:created xsi:type="dcterms:W3CDTF">2013-12-23T23:15:00Z</dcterms:created>
  <dcterms:modified xsi:type="dcterms:W3CDTF">2026-05-22T12:07:00Z</dcterms:modified>
  <cp:category/>
</cp:coreProperties>
</file>